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1C_167/2016 vom 8. Dezember 2016</w:t>
      </w:r>
    </w:p>
    <w:p>
      <w:r>
        <w:t>Bundesgericht, 2016-12-08, DE</w:t>
      </w:r>
    </w:p>
    <w:p>
      <w:r>
        <w:rPr>
          <w:b/>
        </w:rPr>
        <w:t xml:space="preserve">Quelle: </w:t>
      </w:r>
      <w:r>
        <w:t>https://mcp.opencaselaw.ch/entscheid/bger_1C_167_2016</w:t>
      </w:r>
    </w:p>
    <w:p>
      <w:r>
        <w:t>FR: TF 1C_167/2016 du 8 décembre 2016</w:t>
      </w:r>
    </w:p>
    <w:p>
      <w:r>
        <w:t>IT: TF 1C_167/2016 del 8 dicembre 2016</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Stimmrechtssachen erfasst ( Art. 88 Abs. 1 BGG ).</w:t>
      </w:r>
    </w:p>
    <w:p>
      <w:r>
        <w:t>Soweit die Beschwerdeführer eine Verletzung von § 33 KV/SZ rügen, ist nachfolgend zu prüfen, ob der sachliche Anwendungsbereich der Stimmrechtsbeschwerde im Sinne von Art. 82 lit. c BGG gegeben ist und auf die Beschwerde eingetreten werden kann.</w:t>
      </w:r>
    </w:p>
    <w:p>
      <w:r>
        <w:t>Von vorneherein nicht eingetreten werden kann auf die Beschwerde, soweit die Beschwerdeführer eine Verletzung von Art. 29 Abs. 2 BV und Art. 34 Abs. 1 BV behaupten. Sie begründen diese Vorbringen nicht näher und genügen damit der Begründungspflicht nicht (vgl. Art. 106 Abs. 2 BGG ; BGE 138 I 171 E. 1.4 S. 176).</w:t>
      </w:r>
    </w:p>
    <w:p>
      <w:r>
        <w:rPr>
          <w:b/>
        </w:rPr>
        <w:t>E. 1.2</w:t>
      </w:r>
    </w:p>
    <w:p>
      <w:r>
        <w:t>Art. 82 lit. c BGG schliesst die Gesamtheit der politischen Rechte ein. Der sachliche Anwendungsbereich ist bezogen auf die politischen Rechte umfassend. Der Wortlaut von Art. 82 lit. c BGG bringt jedoch zum Ausdruck, dass entsprechend der bisherigen Rechtsprechung (vor Inkrafttreten des BGG) die unmittelbare Ausübung politischer Rechte von Stimmberechtigten in Frage stehen muss (Gerold Steinmann, Basler Kommentar BGG, 2. Auflage 2011, N. 82 zu Art. 82). Es genügt nicht, allgemein eine willkürliche Anwendung kantonalen Rechts zu rügen. Vielmehr muss eine Verletzung des Stimm- und Wahlrechts geltend gemacht werden. Eine solche setzt eine Einschränkung der Rechte der Stimmbürger voraus (Urteil 1P.36/1997 vom 18. November 1997 E. 1b, in: ZBl 100/1999 S. 483).</w:t>
      </w:r>
    </w:p>
    <w:p>
      <w:r>
        <w:t>Nach der Praxis kann beispielsweise etwa die Festlegung des Abstimmungstermins Gegenstand der Stimmrechtsbeschwerde bilden, soweit hierdurch die freie Willensbildung und -äusserung der Stimmbürger beeinträchtigt werden kann (vgl. Urteil 1C_185/2007 vom 6. November 2007 E. 1.1, in: ZBl 110/2009 S. 169).</w:t>
      </w:r>
    </w:p>
    <w:p>
      <w:r>
        <w:rPr>
          <w:b/>
        </w:rPr>
        <w:t>E. 1.3</w:t>
      </w:r>
    </w:p>
    <w:p>
      <w:r>
        <w:t>Die Beschwerdeführer machen geltend, eine Teilrevision des kantonalen Energiegesetzes stehe unmittelbar bevor. Diese Gesetzesvorlage werde voraussichtlich im 3. Quartal 2016 dem Kantonsrat überwiesen. Es mache keinen Sinn, über die Initiative abzustimmen, wenn mit der Behandlung der Gesetzesvorlage zur Teilrevision des Energiegesetzes die Chance bestehe, wesentliche Elemente der Initiative in die neue Gesetzgebung aufzunehmen, sodass die Initiative in der Folge zurückgezogen werden könnte. Mit einer Sistierung könne daher unter Umständen auf eine Volksabstimmung verzichtet werden, womit ein Betrag von Fr. 30'000.-- bis Fr. 50'000.-- eingespart werden könnte.</w:t>
      </w:r>
    </w:p>
    <w:p>
      <w:r>
        <w:rPr>
          <w:b/>
        </w:rPr>
        <w:t>E. 1.4</w:t>
      </w:r>
    </w:p>
    <w:p>
      <w:r>
        <w:t>Die Beschwerdeführer begründen den Sistierungsantrag somit primär mit finanziellen Überlegungen. In rechtlicher Hinsicht rügen sie allgemein eine willkürliche Anwendung kantonalen Rechts, nämlich eine unhaltbare Anwendung von § 33 KV/SZ . Sie behaupten indes keine Einschränkung der Rechte der Stimmbürger. Eine solche ist auch nicht ersichtlich. Mit der unterbliebenen Sistierung wird die unmittelbare Ausübung der politischen Rechte der Stimmbürger nicht in Frage gestellt. Vielmehr wird die Initiative der Abstimmung zugeführt, sodass die Stimmbürger ihr politisches Recht, an Abstimmungen teilzunehmen, wahrnehmen können. Inwiefern hierdurch die freie Willensbildung und -äusserung der Stimmbürger im konkreten Fall beeinträchtigt werden könnte, ist nicht zu erkennen.</w:t>
      </w:r>
    </w:p>
    <w:p>
      <w:r>
        <w:t>Die für die Zulässigkeit der Stimmrechtsbeschwerde erforderliche Betroffenheit in den politischen Rechten der Stimmbürger selber (vgl. Urteil 1P.571/2000 vom 16. November 2000 E. 1, in: ZBl 102/2001 S. 223) ist vorliegend folglich nicht gegeben.</w:t>
      </w:r>
    </w:p>
    <w:p>
      <w:r>
        <w:rPr>
          <w:b/>
        </w:rPr>
        <w:t>E. 2</w:t>
      </w:r>
    </w:p>
    <w:p>
      <w:r>
        <w:t>Auf die Stimmrechtsbeschwerde ist nach dem Gesagten nicht einzutreten.</w:t>
      </w:r>
    </w:p>
    <w:p>
      <w:r>
        <w:t>Bei diesem Ausgang des Verfahrens tragen die Beschwerdeführer die Gerichtskosten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