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167/2011 vom 14. Juni 2011</w:t>
      </w:r>
    </w:p>
    <w:p>
      <w:r>
        <w:t>Bundesgericht, 2011-06-14, FR</w:t>
      </w:r>
    </w:p>
    <w:p>
      <w:r>
        <w:rPr>
          <w:b/>
        </w:rPr>
        <w:t xml:space="preserve">Quelle: </w:t>
      </w:r>
      <w:r>
        <w:t>https://mcp.opencaselaw.ch/entscheid/bger_1C_167_2011</w:t>
      </w:r>
    </w:p>
    <w:p>
      <w:r>
        <w:t>FR: TF 1C 167/2011 du 14 juin 2011</w:t>
      </w:r>
    </w:p>
    <w:p>
      <w:r>
        <w:t>IT: TF 1C 167/2011 del 14 giugno 2011</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qui émane du TAF et concerne l'annulation de la naturalisation facilitée accordée au recourant,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recours a été déposé dans le délai légal ( art. 100 al. 1 LTF ) par une personne légitimée à agir ( art. 89 al. 1 LTF ). Il est donc en principe recevable.</w:t>
      </w:r>
    </w:p>
    <w:p>
      <w:r>
        <w:rPr>
          <w:b/>
        </w:rPr>
        <w:t>E. 2</w:t>
      </w:r>
    </w:p>
    <w:p>
      <w:r>
        <w:t>Dans son écriture, le recourant se plaint notamment d'une constatation inexacte des faits pertinents ainsi que de l'inopportunité de la décision prise par l'ODM.</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rPr>
          <w:b/>
        </w:rPr>
        <w:t>E. 2.2</w:t>
      </w:r>
    </w:p>
    <w:p>
      <w:r>
        <w:t>Dans la première partie de son écriture, le recourant présente son propre exposé des faits qui s'écarte partiellement de celui retenu par le TAF. Formulés sur un mode purement appellatoire, ces faits ne peuvent être pris en compte par le Tribunal fédéral. Le recourant fait aussi grief aux autorités précédentes de ne pas avoir tenu compte de la grossesse de son ex-épouse, interrompue pour des raisons médicales en 1998; ce fait devrait lever les doutes des autorités compétente quant à sa volonté de former une union conjugale stable. Allégué pour la première fois devant le Tribunal fédéral, cet élément de fait est nouveau et donc irrecevable ( art. 99 al. 1 LTF ). Le présent arrêt sera donc fondé sur les seuls faits retenus par l'autorité précédente.</w:t>
      </w:r>
    </w:p>
    <w:p>
      <w:r>
        <w:rPr>
          <w:b/>
        </w:rPr>
        <w:t>E. 2.3</w:t>
      </w:r>
    </w:p>
    <w:p>
      <w:r>
        <w:t>Enfin, le grief du recourant, en tant qu'il concerne l'opportunité de la décision annulant sa naturalisation facilitée, est irrecevable. Le pouvoir d'examen du Tribunal fédéral est en effet limité à la violation du droit (y compris l'excès ou l'abus du pouvoir d'appréciation) et ne s'étend pas à l'opportunité de la décision prise par l'ODM.</w:t>
      </w:r>
    </w:p>
    <w:p>
      <w:r>
        <w:rPr>
          <w:b/>
        </w:rPr>
        <w:t>E. 3</w:t>
      </w:r>
    </w:p>
    <w:p>
      <w:r>
        <w:t>Le recourant conteste en substance avoir obtenu la naturalisation par des déclarations mensongères. Il soutient qu'il formait une communauté conjugale stable et effective au moment de la signature de la déclaration commune. Ce faisant, il se plaint d'une mauvaise application des règles sur l'annulation de la naturalisation facilitée, en particulier l' art. 41 LN .</w:t>
      </w:r>
    </w:p>
    <w:p>
      <w:r>
        <w:rPr>
          <w:b/>
        </w:rPr>
        <w:t>E. 3.1</w:t>
      </w:r>
    </w:p>
    <w:p>
      <w:r>
        <w:t>Conformément à cette disposition, l'ODM peut, avec l'assentiment de l'autorité du canton d'origine, annuler une naturalisation facilitée obtenue par des déclarations mensongères ou par la dissimulation de faits essentiels.</w:t>
      </w:r>
    </w:p>
    <w:p>
      <w:r>
        <w:rPr>
          <w:b/>
        </w:rPr>
        <w:t>E. 3.1.1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1C_421/2008 du 15 décembre 2008 consid. 4.2.1 et les arrêts cités).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3.1.2</w:t>
      </w:r>
    </w:p>
    <w:p>
      <w:r>
        <w:t>La procédure administrative fédérale est régie par le principe de la libre appréciation des preuves ( art. 40 PCF [RS 273], applicable par renvoi de l' art. 19 PA [RS 172.021]).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ATF 135 II 161 consid. 3 p. 166; 132 II 113 consid. 3.2 p. 115 s.), mais encore dans son propre intérêt, de renverser cette présomption ( ATF 130 II 482 consid. 3.2 p. 485 s.). S'agissant d'une présomption de fait, qui ressortit à l'appréciation des preuves et ne modifie pas le fardeau de la preuve (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arrêt 1C_421/2008 du 15 décembre 2008 consid. 4.2.2 et les arrêts cités).</w:t>
      </w:r>
    </w:p>
    <w:p>
      <w:r>
        <w:rPr>
          <w:b/>
        </w:rPr>
        <w:t>E. 3.2</w:t>
      </w:r>
    </w:p>
    <w:p>
      <w:r>
        <w:t>Selon la jurisprudence, une présomption de fait selon laquelle la communauté conjugale n'était pas stable lors de l'octroi de la naturalisation peut être admise si la séparation des époux intervient quelques mois plus tard (cf. ATF 135 II 161 consid. 4.3 p. 168; 130 II 482 consid. 3.3 p. 486 s.). En l'occurrence, il s'est écoulé à peine dix mois entre l'octroi de la naturalisation et la séparation des époux. Aussi, contrairement à ce que soutient le recourant, la présomption précitée peut être admise compte tenu de l'enchaînement relativement rapide des événements - non contestés en l'espèce - (déclaration commune en février 2005, octroi de la naturalisation en juillet 2005, séparation des époux fin mai 2006, signature d'une convention de divorce en mai 2007, jugement de divorce en avril 2008 et remariage du recourant en juillet 2008). C'est en vain que le recourant conteste ce mécanisme de présomption, qui a été maintes fois confirmé par la jurisprudence (cf. supra consid. 3.1). Il s'agit donc uniquement de déterminer si l'in-téressé est parvenu à renverser cette présomption.</w:t>
      </w:r>
    </w:p>
    <w:p>
      <w:r>
        <w:rPr>
          <w:b/>
        </w:rPr>
        <w:t>E. 3.3</w:t>
      </w:r>
    </w:p>
    <w:p>
      <w:r>
        <w:t>Pour l'autorité précédente, cette présomption était renforcée par divers éléments. Ainsi, outre la différence d'âge entre les ex-époux, la relation adultère entretenue par le recourant démontrait que le lien matrimonial n'était pas stable. L'autorité précédente relevait également que le recourant s'était remarié avec une compatriote de trois ans sa cadette, à peine quelques mois après le divorce; il avait eu très rapidement un enfant avec sa nouvelle épouse, puis un second, alors qu'il avait déclaré à son ex-épouse ne pas en vouloir. Le TAF soulignait également le changement de comportement adopté par l'intéressé à l'issue de sa naturalisation. Le recourant se contente d'affirmer de façon péremptoire, photographies à l'appui, que la communauté conjugale était stable et effective au moment de la déclaration commune et de l'octroi de la naturalisation. Il soutient en outre que l'impulsion de la séparation aurait été donnée par son ex-épouse, de sorte qu'il ne serait pas seul responsable de la désunion du couple; il reproche à cet égard à son ex-épouse de ne jamais l'avoir accompagné dans son pays d'origine et de ne pas avoir développé de liens avec sa belle-famille. Ces explications ne sont pas convaincantes. Elles sont en particulier contredites pas les déclarations de l'ex-épouse selon lesquelles elle a ordonné au recourant de quitter le domicile conjugal lorsqu'elle a eu connaissance de la relation extra-conjugale entretenue par le recourant. De même, l'intéressée a précisé que leur union s'était bien déroulée jusqu'à l'obtention du passeport suisse par le recourant, mais qu'ensuite celui-ci avait de plus en plus fait sa vie de son côté et s'était souvent rendu seul dans sa famille en Suisse et au Kosovo.</w:t>
      </w:r>
    </w:p>
    <w:p>
      <w:r>
        <w:rPr>
          <w:b/>
        </w:rPr>
        <w:t>E. 3.4</w:t>
      </w:r>
    </w:p>
    <w:p>
      <w:r>
        <w:t>En définitive, même si certains des éléments mentionnés par le TAF - ainsi la différence d'âge entre les époux - ne sont pas pertinents, les éléments avancés par le recourant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4</w:t>
      </w:r>
    </w:p>
    <w:p>
      <w:r>
        <w:t>Il s'ensuit que le recours doit être rejeté dans la mesure de sa recevabilité.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