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1C_166/2015 vom 26. März 2015</w:t>
      </w:r>
    </w:p>
    <w:p>
      <w:r>
        <w:t>Bundesgericht, 2015-03-26, DE</w:t>
      </w:r>
    </w:p>
    <w:p>
      <w:r>
        <w:rPr>
          <w:b/>
        </w:rPr>
        <w:t xml:space="preserve">Quelle: </w:t>
      </w:r>
      <w:r>
        <w:t>https://mcp.opencaselaw.ch/entscheid/bger_1C_166_2015</w:t>
      </w:r>
    </w:p>
    <w:p>
      <w:r>
        <w:t>FR: TF 1C_166/2015 du 26 mars 2015</w:t>
      </w:r>
    </w:p>
    <w:p>
      <w:r>
        <w:t>IT: TF 1C_166/2015 del 26 marzo 2015</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Bei der Beantwortung der Frage, ob ein besonders bedeutender Fall gegeben ist, steht dem Bundesgericht ein weiter Ermessensspielraum zu ( BGE 134 IV 156 E. 1.3.1 S. 160 mit Hinweis).</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Der Beschwerdeführer ist der Auffassung, es liege ein besonders bedeutender Fall vor, da unklar sei, welche Anforderungen Art. 12 des Europäischen Auslieferungsübereinkommens vom 13. Dezember 1957 (SR 0.353.1; im Folgenden: EAUe) an die Wiedergabe des Sachverhalts im Auslieferungsersuchen stelle. Weiter sei die Frage von grundsätzlicher Bedeutung, ob Art. 53 IRSG (SR 351.1) zum Alibibeweis analog anzuwenden sei, wenn bewiesen werden könne, dass ein objektives Tatbestandsmerkmal nicht vorliege. Er habe nämlich vor den Vorinstanzen bewiesen oder zumindest Indizien beigebracht, dass das Opfer im Zeitpunkt des angeblichen Übergriffs keine Zivilperson, sondern ein Kombattant gewesen sei. Eine schwere Verletzung der Genfer Konventionen gemäss Art. 264c Abs. 1 lit. a StGB falle deshalb ausser Betracht. Damit komme lediglich ein Tötungsdelikt in Frage, wobei mangels der qualifizierenden Voraussetzungen des Tatbestands des Mordes von einer vorsätzlichen Tötung nach Art. 111 StGB auszugehen sei. Dieses Delikt sei aber bereits verjährt. Ein besonders bedeutender Fall liege weiter deshalb vor, weil es noch keine Rechtsprechung betreffend Auslieferungen nach Bosnien und Herzegowina gebe und weil eine willkürliche Rechtsanwendung des zuständigen bosnischen Gerichts absehbar sei.</w:t>
      </w:r>
    </w:p>
    <w:p>
      <w:r>
        <w:rPr>
          <w:b/>
        </w:rPr>
        <w:t>E. 1.3</w:t>
      </w:r>
    </w:p>
    <w:p>
      <w:r>
        <w:t>Entgegen der Auffassung des Beschwerdeführers sind diese Vorbringen im Lichte der auch bei Auslieferungen restriktiven Rechtsprechung nicht geeignet, einen besonders bedeutenden Fall darzutun.</w:t>
      </w:r>
    </w:p>
    <w:p>
      <w:r>
        <w:t>Gemäss konstanter Rechtsprechung zum massgebenden Art. 12 EAUe hat der Rechtshilferichter weder Tat- noch Schuldfragen zu prüfen und grundsätzlich auch keine Beweiswürdigung vorzunehmen. Er ist vielmehr an die Sachverhaltsdarstellung im Ersuchen gebunden, soweit sie nicht durch offensichtliche Fehler, Lücken oder Widersprüche entkräftet wird ( BGE 133 IV 76 E. 2.2 S. 79 mit Hinweisen). Diesen Anforderungen genügt die Darstellung im Rechtshilfeersuchen. Art. 52 IRSG ist nicht anwendbar, zumal der Beschwerdeführer keinen Alibibeweis geltend macht. Die von ihm vorgebrachten Beweise zur Frage, ob das Opfer Zivilperson oder Kombattant war, werden vom Sachrichter zu würdigen sein. Der Beschwerdeführer bringt nicht substanziiert vor, weshalb aufgrund des Kontextes (bewaffneter Konflikt) im vorliegenden Fall erhöhte Anforderungen an das Rechtshilfeersuchen zu stellen wären (vgl. a.a.O., E. 2.3 S. 79 f. mit Hinweisen). Die Erwägungen im angefochtenen Entscheid stützen sich auf die bundesgerichtliche Rechtsprechung und überzeugen. Darauf kann verwiesen werden ( Art. 109 Abs. 3 BGG ).</w:t>
      </w:r>
    </w:p>
    <w:p>
      <w:r>
        <w:t>Die angeblich zu erwartende willkürliche Rechtsanwendung durch das zuständige bosnische Gericht leitet der Beschwerdeführer aus dem Umstand ab, dass dieses in den Strafverfahren gegen zwei aufgrund desselben Sachverhalts Angeklagte fälschlicherweise angenommen habe, das Opfer sei eine Zivilperson gewesen. In dieser Hinsicht kann auf das bereits Ausgeführte zur Beweiswürdigung durch den Rechtshilferichter verwiesen werden. Die weiteren in diesem Zusammenhang behaupteten "massiven" prozessualen Fehler in den erwähnten Verfahren werden vom Beschwerdeführer nicht weiter substanziiert.</w:t>
      </w:r>
    </w:p>
    <w:p>
      <w:r>
        <w:t>Ob es bereits Rechtsprechung zur Auslieferung an einen bestimmten Staat gibt, ist schliesslich für die Frage des besonders bedeutenden Falls grundsätzlich nicht relevant.</w:t>
      </w:r>
    </w:p>
    <w:p>
      <w:r>
        <w:t>Rechtsfragen von grundsätzlicher Bedeutung stellen sich somit nicht. Auch sonst ist der Fall nicht von aussergewöhnlicher Tragweite. Für das Bundesgericht besteht daher kein Anlass, die Sache an die Hand zu nehmen.</w:t>
      </w:r>
    </w:p>
    <w:p>
      <w:r>
        <w:rPr>
          <w:b/>
        </w:rPr>
        <w:t>E. 2</w:t>
      </w:r>
    </w:p>
    <w:p>
      <w:r>
        <w:t>Auf die Beschwerde ist nicht einzutreten. Das Gesuch des Beschwerdeführers um aufschiebende Wirkung für die Dauer des bundesgerichtlichen Verfahrens wird damit gegenstandslos.</w:t>
      </w:r>
    </w:p>
    <w:p>
      <w:r>
        <w:t>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