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1C_166/2013 vom 27. Juni 2013</w:t>
      </w:r>
    </w:p>
    <w:p>
      <w:r>
        <w:t>Bundesgericht, 2013-06-27, DE</w:t>
      </w:r>
    </w:p>
    <w:p>
      <w:r>
        <w:rPr>
          <w:b/>
        </w:rPr>
        <w:t xml:space="preserve">Quelle: </w:t>
      </w:r>
      <w:r>
        <w:t>https://mcp.opencaselaw.ch/entscheid/bger_1C_166_2013</w:t>
      </w:r>
    </w:p>
    <w:p>
      <w:r>
        <w:t>FR: TF 1C_166/2013 du 27 juin 2013</w:t>
      </w:r>
    </w:p>
    <w:p>
      <w:r>
        <w:t>IT: TF 1C_166/2013 del 27 giugno 2013</w:t>
      </w:r>
    </w:p>
    <w:p>
      <w:pPr>
        <w:pStyle w:val="Heading2"/>
      </w:pPr>
      <w:r>
        <w:t>Erwägungen</w:t>
      </w:r>
    </w:p>
    <w:p>
      <w:r>
        <w:rPr>
          <w:b/>
        </w:rPr>
        <w:t>E. 1.1</w:t>
      </w:r>
    </w:p>
    <w:p>
      <w:r>
        <w:t>Das angefochtene Urteil des Verwaltungsgerichts ist ein letztinstanzlicher Entscheid in einer Materie des öffentlichen Rechts, die unter keinen Ausschlussgrund fällt. Er behandelt einzig die Ausstandsfrage, stellt damit einen selbstständig eröffneten Zwischenentscheid dar und kann direkt beim Bundesgericht angefochten werden. Die Beschwerde ist rechtzeitig erhoben worden. Insoweit erweist sich die Beschwerde in öffentlich-rechtlichen Angelegenheiten als zulässig (Art. 46 Abs. 1 lit. c, Art. 82 lit. a, Art. 86 Abs. 1 lit. d, Art. 98 Abs. 1, Art. 92 und Art. 100 Abs. 1 BGG ).</w:t>
      </w:r>
    </w:p>
    <w:p>
      <w:r>
        <w:t>Nicht einzutreten ist auf den Antrag, es sei auch der Entscheid des Baudepartements aufzuheben. Dieser wird durch das Urteil des Verwaltungsgerichts ersetzt, gilt immerhin inhaltlich als mitangefochten (sog. Devolutiveffekt; BGE 134 II 142 E. 1.4 S. 144).</w:t>
      </w:r>
    </w:p>
    <w:p>
      <w:r>
        <w:rPr>
          <w:b/>
        </w:rPr>
        <w:t>E. 1.2</w:t>
      </w:r>
    </w:p>
    <w:p>
      <w:r>
        <w:t>Das Verwaltungsgericht hat ausführlich dargelegt, dass der Vorsteher des Baudepartements auch in Anbetracht der gestellten Ausstandsbegehren zuständig gewesen sei, den Entscheid vom 16. Juli 2012 zu treffen. Die Ausstandsbegehren der Beschwerdeführer hätten sich trotz der weiten Formulierung nur auf Reto Clavadetscher und Bettina Deillon-Schegg vom Rechtsdienst bezogen; angesichts der Begründung und Vorbringen sei lediglich das Ausstandsbegehren gegen Bettina Deillon-Schegg zu beurteilen (E. 1.3 und 4 des Verwaltungsgerichtsentscheids). Die Beschwerdeführer setzen sich mit diesen Erwägungen in keiner Weise auseinander. Sie legen auch nicht dar, dass diese Erwägungen einen Bezug zu den von ihnen gerügten Verletzungen von Art. 29 BV aufweisen würden. Somit ist auf diesen Punkt nicht näher einzugehen.</w:t>
      </w:r>
    </w:p>
    <w:p>
      <w:r>
        <w:rPr>
          <w:b/>
        </w:rPr>
        <w:t>E. 2</w:t>
      </w:r>
    </w:p>
    <w:p>
      <w:r>
        <w:t>Die Beschwerdeführer werfen dem Verwaltungsgericht in zweifacher Hinsicht eine Verletzung von Art. 29 Abs. 2 BV vor.</w:t>
      </w:r>
    </w:p>
    <w:p>
      <w:r>
        <w:rPr>
          <w:b/>
        </w:rPr>
        <w:t>E. 2.1</w:t>
      </w:r>
    </w:p>
    <w:p>
      <w:r>
        <w:t>Im Verfahren vor dem Verwaltungsgericht ersuchten die Beschwerdeführer darum, ihnen die Vorakten der Vorinstanz zuzustellen. Ohne im Voraus darauf zu antworten, hielt das Verwaltungsgericht im angefochtenen Entscheid fest, es sei nicht ersichtlich, welchen Beweisanträgen die Vorinstanz hätte nachkommen können oder sollen.</w:t>
      </w:r>
    </w:p>
    <w:p>
      <w:r>
        <w:t>Als Garantie des rechtlichen Gehörs räumt Art. 29 Abs. 2 BV u.a. einen Anspruch auf Akteneinsicht ein. Er ergibt sich allein aus der Verfahrensbeteiligung und ist insoweit voraussetzungslos; entsprechende Anträge können nicht mit antizipierter Beweiswürdigung abgewiesen werden (hierzu BGE 136 I 229 E. 5.3 S. 236).</w:t>
      </w:r>
    </w:p>
    <w:p>
      <w:r>
        <w:t>Im vorliegenden Fall hat das Verwaltungsgericht den Beschwerdeführern weder die Akten antragsgemäss zugestellt noch sonstwie Gelegenheit zur Einsichtnahme gegeben. Damit ist der Anspruch auf Akteneinsicht verletzt worden.</w:t>
      </w:r>
    </w:p>
    <w:p>
      <w:r>
        <w:rPr>
          <w:b/>
        </w:rPr>
        <w:t>E. 2.2</w:t>
      </w:r>
    </w:p>
    <w:p>
      <w:r>
        <w:t>Weiter ersuchten die Beschwerdeführer das Verwaltungsgericht wenige Tage nach Erhalt der Vernehmlassung des Baudepartements um Einräumung einer angemessenen Frist für eine entsprechende Replik. Das Verwaltungsgericht beantwortete das Schreiben nicht im Voraus und hielt alsdann im angefochtenen Entscheid fest, die Vernehmlassung enthalte keine neuen Argumente, die eine neuerliche Stellungnahme erforderlich machen könnten.</w:t>
      </w:r>
    </w:p>
    <w:p>
      <w:r>
        <w:t>Gemäss Art. 29 Abs. 1 und Abs. 2 BV haben die Parteien Anspruch auf ein gerechtes Verfahren und auf Gewährung des rechtlichen Gehörs. Er umfasst das Recht, von allen beim Gericht eingereichten Stellungnahmen Kenntnis zu erhalten und sich dazu äussern zu können, unabhängig davon, ob eine Eingabe neue oder wesentliche Vorbringen enthält. Das Replikrecht besteht unabhängig davon, ob ein zweiter Schriftenwechsel angeordnet, eine Frist zur Stellungnahme angesetzt oder die Eingabe lediglich zur Kenntnisnahme oder Orientierung zugestellt wird. Im Falle der Zustellung ohne Frist wird von der Partei erwartet, dass sie ihre Bemerkungen umgehend einreicht oder einen entsprechenden Antrag stellt; andernfalls wird ihr stillschweigender Verzicht auf weitere Äusserungen angenommen. Es ist Aufgabe des Gerichts, den Parteien in jedem Einzelfall ein effektives Replikrecht zu garantieren ( BGE 138 I 484 E. 2.1-2.4 S. 485 ff.).</w:t>
      </w:r>
    </w:p>
    <w:p>
      <w:r>
        <w:t>Im vorliegenden Fall hat das Verwaltungsgericht den Beschwerdeführern das Replikrecht verweigert. Damit ist Art. 29 Abs. 2 BV verletzt.</w:t>
      </w:r>
    </w:p>
    <w:p>
      <w:r>
        <w:rPr>
          <w:b/>
        </w:rPr>
        <w:t>E. 2.3</w:t>
      </w:r>
    </w:p>
    <w:p>
      <w:r>
        <w:t>Dementsprechend erweist sich die vorliegende Beschwerde in Bezug auf den Vorwurf der Verletzung von Art. 29 Abs. 2 BV als begründet. Das führt zur Aufhebung des angefochtenen Urteils. Die Sache ist dem Verwaltungsgericht zur Gewährung der Verfahrensrechte und zu neuer Beurteilung zurückzuweisen.</w:t>
      </w:r>
    </w:p>
    <w:p>
      <w:r>
        <w:rPr>
          <w:b/>
        </w:rPr>
        <w:t>E. 3</w:t>
      </w:r>
    </w:p>
    <w:p>
      <w:r>
        <w:t>Demnach ist die Beschwerde gutzuheissen. Das Urteil des Verwaltungsgerichts ist aufzuheben und die Sache an dieses zurückzuweisen. Bei diesem Ausgang des Verfahrens sind keine Kosten zu erheben ( Art. 66 Abs. 1 und 4 BGG ). Der Kanton St. Gallen hat die Beschwerdeführer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