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1C_165/2019 vom 7. Januar 2020</w:t>
      </w:r>
    </w:p>
    <w:p>
      <w:r>
        <w:t>Bundesgericht, 2020-01-07, FR</w:t>
      </w:r>
    </w:p>
    <w:p>
      <w:r>
        <w:rPr>
          <w:b/>
        </w:rPr>
        <w:t xml:space="preserve">Quelle: </w:t>
      </w:r>
      <w:r>
        <w:t>https://mcp.opencaselaw.ch/entscheid/bger_1C_165_2019</w:t>
      </w:r>
    </w:p>
    <w:p>
      <w:r>
        <w:t>FR: TF 1C_165/2019 du 7 janvier 2020</w:t>
      </w:r>
    </w:p>
    <w:p>
      <w:r>
        <w:t>IT: TF 1C_165/2019 del 7 gennaio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participé à la procédure devant l'instance précédente. En tant que copropriétaire d'une parcelle directement voisine du projet, il est particulièrement touché par l'arrêt attaqué confirmant l'octroi d'un permis de construire pour un projet de construction qu'il tient en particulier pour non conforme au droit. Il peut ainsi se prévaloir d'un intérêt personnel et digne de protection à l'annulation de l'arrêt attaqué. Il a dès lors qualité pour agir au sens de l' art. 89 al. 1 LTF .</w:t>
      </w:r>
    </w:p>
    <w:p>
      <w:r>
        <w:t>Les autres conditions de recevabilité sont par ailleurs réunies, si bien qu'il y a lieu d'entrer en matière sur le fond.</w:t>
      </w:r>
    </w:p>
    <w:p>
      <w:r>
        <w:rPr>
          <w:b/>
        </w:rPr>
        <w:t>E. 2</w:t>
      </w:r>
    </w:p>
    <w:p>
      <w:r>
        <w:t>Invoquant une violation de l' art. 29 al. 1 Cst. , le recourant affirme que plusieurs circonstances constatées objectivement donneraient, à tout le moins l'apparence, d'une prévention de B.________ à son encontre.</w:t>
      </w:r>
    </w:p>
    <w:p>
      <w:r>
        <w:rPr>
          <w:b/>
        </w:rPr>
        <w:t>E. 2.1</w:t>
      </w:r>
    </w:p>
    <w:p>
      <w:r>
        <w:t>L' art. 29 al. 1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réf. cit.; 127 I 196 consid. 2b; 125 I 119 consid. 3b; arrêt 2C_238/2018 du 28 mai 2018 consid. 4.2).</w:t>
      </w:r>
    </w:p>
    <w:p>
      <w:r>
        <w:t>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arrêts 1C_44/2019 du 29 mai 2019 consid. 5.1; 2C_931/2015 du 12 octobre 2016 consid. 5.1 et les références citées).</w:t>
      </w:r>
    </w:p>
    <w:p>
      <w:r>
        <w:t>Par ailleurs, selon la jurisprudence, des erreurs de procédure ou d'appréciation commises par la personne en cause ne suffisent pas à fonder objectivement un soupçon de prévention, à moins qu'elles soient particulièrement lourdes ou répétées et qu'elles constituent des violations graves de ses devoirs qui dénotent une intention de nuire ( ATF 138 IV 142 consid. 2.3 p. 146 et les arrêts cités; 125 I 119 consid. 3e p. 124).</w:t>
      </w:r>
    </w:p>
    <w:p>
      <w:r>
        <w:rPr>
          <w:b/>
        </w:rPr>
        <w:t>E. 2.2</w:t>
      </w:r>
    </w:p>
    <w:p>
      <w:r>
        <w:t>L'instance précédente s'est référée aux motifs développés dans son arrêt rendu le 17 janvier 2019 pour écarter le grief tiré de la prévention de B.________. A ses yeux, les éléments avancés par le recourant ne permettaient pas de conclure à une apparence objective de partialité et de retenir l'existence d'un motif de récusation.</w:t>
      </w:r>
    </w:p>
    <w:p>
      <w:r>
        <w:t>Le recourant conteste cette appréciation, affirmant la prévention de B.________ à tout le moins au niveau des apparences. Il se prévaut tout d'abord des observations du 22 mars 2018 rédigées et signées par B.________ au nom du Conseil d'Etat. Ce dernier précisait notamment en réponse au moyen pris d'une sérieuse absence de motivation de la décision attaquée qu'il ne fallait pas voir dans la courte motivation de sa part une violation du droit d'être entendu du recourant mais plutôt une réponse appropriée à un grief peu consistant, "soulevé par quelqu'un qui semble malheureusement être plus soucieux d'ennuyer son voisin que de voir le droit respecté".</w:t>
      </w:r>
    </w:p>
    <w:p>
      <w:r>
        <w:t>L'opinion litigieuse exprimée par B.________ est, comme relevé par l'instance précédente, étrangère au fond de l'affaire concernée et n'est pas utile à la résolution du litige. Cette remarque témoigne manifestement d'une appréciation négative de la part de celui qui la formule. Elle prend en l'espèce une dimension particulière puisqu'elle émane de la personne appelée à instruire les recours et à rédiger les propositions de décisions sur recours à l'attention du Conseil d'Etat et qui doit faire preuve de réserve à l'égard des parties ainsi que de retenue dans l'expression, tant écrite qu'orale. Déplacée et malvenue, la remarque écrite de B.________ pouvait ainsi objectivement être ressentie par le recourant comme la marque d'une défiance à son encontre.</w:t>
      </w:r>
    </w:p>
    <w:p>
      <w:r>
        <w:t>A cet élément s'ajoutent des erreurs de procédure ou d'appréciation commises par B.________. Celui-ci a notamment statué lui-même par décision du 19 avril 2018 sur la requête de récusation déposée par le recourant à son encontre, violant ainsi les règles de compétence ratione materiae; la cour cantonale a constaté par décision du 19 juin 2018 que cette décision était affectée d'un vice grave emportant sa nullité. Une telle erreur apparaît particulièrement grave. L'instance précédente a également relevé, dans l'arrêt entrepris, que le Conseil d'Etat avait, dans sa décision du 17 janvier 2018 rédigée par l'intimé, excédé son pouvoir d'appréciation en octroyant la totalité des dépens réclamé par l'avocat de la partie adverse en raison de " l'attitude du recourant ", alors qu'un tel critère n'était pas prévu par la loi cantonale applicable et qu'aucun détail n'était donné au sujet de cette attitude.</w:t>
      </w:r>
    </w:p>
    <w:p>
      <w:r>
        <w:t>Par conséquent, le cumul de ces éléments permet objectivement de retenir une apparence de prévention de B.________, lequel a participé à la rédaction de la décision du Conseil d'Etat du 17 janvier 2018. Il y a donc lieu de constater que la garantie d'impartialité du Conseil d'Etat n'était, pour ce motif, pas respectée lorsqu'il a rendu cette décision. En n'annulant pas la décision du Conseil d'Etat, le Tribunal cantonal a donc violé l' art. 29 al. 1 Cst.</w:t>
      </w:r>
    </w:p>
    <w:p>
      <w:r>
        <w:rPr>
          <w:b/>
        </w:rPr>
        <w:t>E. 2.3</w:t>
      </w:r>
    </w:p>
    <w:p>
      <w:r>
        <w:t>Le recours devant être admis pour ce seul motif, il n'y a pas lieu d'examiner les autres griefs soulevés par le recourant.</w:t>
      </w:r>
    </w:p>
    <w:p>
      <w:r>
        <w:rPr>
          <w:b/>
        </w:rPr>
        <w:t>E. 3</w:t>
      </w:r>
    </w:p>
    <w:p>
      <w:r>
        <w:t>Il s'ensuit que le recours doit être admis. L'arrêt du 15 février 2019 du Tribunal cantonal et la décision du 17 janvier 2018 du Conseil d'Etat sont annulés. La cause est renvoyée au Conseil d'Etat pour reprise de l'instruction et nouvelle décision au fond.</w:t>
      </w:r>
    </w:p>
    <w:p>
      <w:r>
        <w:t>Il est statué sans frais ( art. 66 al. 1 et 4 LTF ). L'admission du recours étant fondée sur un motif lié à la composition irrégulière de l'autorité administrative, l'Etat de Neuchâtel versera des dépens au recourant, qui obtient gain de cause avec l'assistance d'un avocat ( art. 66 al. 1 et 5 LTF ). La cause est renvoyée au Tribunal cantonal pour qu'il procède à une nouvelle répartition des frais et dépens de la procédure cantonale antérieure devant lui et devant le Conseil d'Etat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