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164/2016 vom 10. Juni 2016</w:t>
      </w:r>
    </w:p>
    <w:p>
      <w:r>
        <w:t>Bundesgericht, 2016-06-10, FR</w:t>
      </w:r>
    </w:p>
    <w:p>
      <w:r>
        <w:rPr>
          <w:b/>
        </w:rPr>
        <w:t xml:space="preserve">Quelle: </w:t>
      </w:r>
      <w:r>
        <w:t>https://mcp.opencaselaw.ch/entscheid/bger_1C_164_2016</w:t>
      </w:r>
    </w:p>
    <w:p>
      <w:r>
        <w:t>FR: TF 1C 164/2016 du 10 juin 2016</w:t>
      </w:r>
    </w:p>
    <w:p>
      <w:r>
        <w:t>IT: TF 1C 164/2016 del 10 giugno 2016</w:t>
      </w:r>
    </w:p>
    <w:p>
      <w:pPr>
        <w:pStyle w:val="Heading2"/>
      </w:pPr>
      <w:r>
        <w:t>Regeste</w:t>
      </w:r>
    </w:p>
    <w:p>
      <w:r>
        <w:t>Entraide judiciaire internationale en matière pénale à la République française; remise de moyens de preuve | Entraide et extradition</w:t>
      </w:r>
    </w:p>
    <w:p>
      <w:pPr>
        <w:pStyle w:val="Heading2"/>
      </w:pPr>
      <w:r>
        <w:t>Erwägungen</w:t>
      </w:r>
    </w:p>
    <w:p>
      <w:r>
        <w:rPr>
          <w:b/>
        </w:rPr>
        <w:t>E. 1</w:t>
      </w:r>
    </w:p>
    <w:p>
      <w:r>
        <w:t>Selon l' art. 109 al. 1 LTF , la cour siège à trois juges - et, selon l' art. 107 al. 3 LTF , dans les quinze jours suivant la fin d'un éventuel échange d'écritures -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la transmission de renseignements touchant le domaine secret. Toutefois, compte tenu de la nature de la transmission envisagée (la documentation portant sur une relation bancaire déterminée) et de l'objet de la procédure étrangère, limité à des infractions de droit commun, le cas ne revêt en soi aucune importance particulière.</w:t>
      </w:r>
    </w:p>
    <w:p>
      <w:r>
        <w:rPr>
          <w:b/>
        </w:rPr>
        <w:t>E. 1.3</w:t>
      </w:r>
    </w:p>
    <w:p>
      <w:r>
        <w:t>La recourante se prévaut d'un document qui lui aurait été transmis par le MPC le 5 avril 2016 comportant une liste des personnes intervenues dans des opérations de titres, soit les initiés "primaires" tels que recensés par l'autorité requérante. Or, C.________ n'y figurerait pas alors qu'il se trouverait selon l'autorité requérante à la source des informations privilégiées. La bonne foi de cette autorité constituerait une question de principe. En réalité, la recourante tente de mettre en doute la présentation des faits telle qu'elle figure dans la demande d'entraide et son complément. Selon la jurisprudence constante, une telle argumentation à décharge n'a pas à être prise en considération par l'autorité suisse d'entraide, celle-ci étant liée par l'état de fait présenté par l'autorité requérante ( ATF 133 IV 40 consid. 5.2 non publié; 123 II 175 consid. 4 p. 181). Il n'est fait exception à ce principe qu'en cas de lacune ou de contradictions évidentes, faisant apparaître la demande comme un abus manifeste. Sur le vu des explications fournies par le TPF dans sa réponse, la recourante a reçu la pièce invoquée en tout cas dans le courant de la procédure de recours, et elle aurait ainsi pu se déterminer à son sujet dans ses dernières écritures. En outre, le nom de C.________ y est bien mentionné à plusieurs reprises. Quoi qu'il en soit, la pièce en question n'a été établie qu'à titre indicatif pour faciliter le tri des documents saisis; elle ne saurait contredire les faits tels qu'ils sont exposés dans la demande d'entraide. Il ne se pose dès lors aucune question de principe sur ce point. La recourante entend aussi se prévaloir d'un arrêt du TAF du 13 mai 2016 relatif à une demande d'entraide administrative de l'AMF. L'arrêt en question porte sur la compétence de cette autorité pour poursuivre des personnes qui ne tomberaient pas sous sa régulation. On ne voit pas en quoi cet arrêt pourrait avoir une incidence sur l'octroi de l'entraide judiciaire à une autorité de poursuite pénale, ni surtout en quoi cela constituerait une question de principe.</w:t>
      </w:r>
    </w:p>
    <w:p>
      <w:r>
        <w:rPr>
          <w:b/>
        </w:rPr>
        <w:t>E. 2</w:t>
      </w:r>
    </w:p>
    <w:p>
      <w:r>
        <w:t>Sur le vu de ce qui précède, le recours est irrecevable. Conformément à l' art. 66 al. 1 LTF , les frais judiciaires sont mis à la charge de la recourante qui succombe. L'octroi d'un délai supplémentaire au sens de l' art. 43 LTF ne se justifie pas, la recourante ayant d'ailleurs eu l'occasion de présenter des observations complémentaires.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