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1C_163/2015 vom 10. November 2015</w:t>
      </w:r>
    </w:p>
    <w:p>
      <w:r>
        <w:t>Bundesgericht, 2015-11-10, DE</w:t>
      </w:r>
    </w:p>
    <w:p>
      <w:r>
        <w:rPr>
          <w:b/>
        </w:rPr>
        <w:t xml:space="preserve">Quelle: </w:t>
      </w:r>
      <w:r>
        <w:t>https://mcp.opencaselaw.ch/entscheid/bger_1C_163_2015</w:t>
      </w:r>
    </w:p>
    <w:p>
      <w:r>
        <w:t>FR: TF 1C_163/2015 du 10 novembre 2015</w:t>
      </w:r>
    </w:p>
    <w:p>
      <w:r>
        <w:t>IT: TF 1C_163/2015 del 10 novembre 2015</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Er schliesst das Verfahren ab, womit es sich um einen Endentscheid im Sinn von Art. 90 BGG handelt, und die Beschwerdeführer sind als dessen Adressaten und als Nachbarn befugt, ihn anzufechten. Sie rügen die Verletzung von Bundesrecht, was zulässig ist (95 lit. a BGG).</w:t>
      </w:r>
    </w:p>
    <w:p>
      <w:r>
        <w:t>Nicht einzutreten ist auf die Beschwerde insoweit, als sie sich gegen die Entscheide der Gemeinde richtet. Diese sind im Rahmen des Streitgegenstands durch dessen Urteil ersetzt worden (Devolutiveffekt) und gelten als inhaltlich mitangefochten ( BGE 134 II 142 E. 1.4 S. 144). Die übrigen Sachurteilsvoraussetzungen geben zu keinen Bemerkungen Anlass, weshalb auf die Beschwerde einzutreten ist.</w:t>
      </w:r>
    </w:p>
    <w:p>
      <w:r>
        <w:rPr>
          <w:b/>
        </w:rPr>
        <w:t>E. 2</w:t>
      </w:r>
    </w:p>
    <w:p>
      <w:r>
        <w:t>Nicht angerechnet werden Flächen, deren lichte Höhe unter 1.60 m liegt sowie die Nebennutzfläche NNF und die Funktionsfläche FF gemäss Norm SIA 416.</w:t>
      </w:r>
    </w:p>
    <w:p>
      <w:r>
        <w:rPr>
          <w:b/>
        </w:rPr>
        <w:t>E. 2.1</w:t>
      </w:r>
    </w:p>
    <w:p>
      <w:r>
        <w:t>In der Wohnzone W3 beträgt die maximale Ausnützung gemäss Art. 15 des Baugesetzes der Gemeinde Disentis vom 30. November 2008 (BauG) 0.70. Der mit "Ausnützungsziffer" betitelte Art. 16 BauG lautet, soweit hier von Interesse:</w:t>
      </w:r>
    </w:p>
    <w:p>
      <w:r>
        <w:t>"1 Die Ausnützungsziffer AZ ist das Verhältnis der Summe der anrechenbaren Geschossflächen zur anrechenbaren Grundstücksfläche.</w:t>
      </w:r>
    </w:p>
    <w:p>
      <w:r>
        <w:rPr>
          <w:b/>
        </w:rPr>
        <w:t>E. 2.2</w:t>
      </w:r>
    </w:p>
    <w:p>
      <w:r>
        <w:t>Das Verwaltungsgericht geht von den folgenden Zahlen aus. Parzelle Nr. 1046: Grundfläche 611 m2, zulässige Ausnützung 427.7 m2, anrechenbare Geschossfläche 420.7 m2. Parzelle Nr. 1047: Grundfläche 640 m2, zulässige Ausnützung 448 m2, anrechenbare Geschossfläche 442.828 m2. Damit halten beide Bauvorhaben die zulässige Ausnützung ein. Die Beschwerdeführer (Beschwerde S. 6 Ziff. 15) rechnen mit leicht abweichenden Zahlen; auch sie kommen indessen wie das Verwaltungsgericht zum Ergebnis, dass die Bauvorhaben die zulässige Ausnützung einhalten, wenn die Treppenhäuser nicht zur anrechenbaren Geschossfläche gezählt werden. Werden sie dagegen an die Ausnützung angerechnet, beträgt diese nach der plausiblen Berechnung der Beschwerdeführer je rund 495 m2 bzw. bei ausgebautem Dachstock 515 m2 und übersteigt damit das zulässige Mass erheblich.</w:t>
      </w:r>
    </w:p>
    <w:p>
      <w:r>
        <w:rPr>
          <w:b/>
        </w:rPr>
        <w:t>E. 2.3</w:t>
      </w:r>
    </w:p>
    <w:p>
      <w:r>
        <w:t>Das Verwaltungsgericht führt im angefochtenen Entscheid (S. 28 f. E 6) aus, nach Art 16 Abs. 5 BauG bestehe die anrechenbare Geschossfläche aus der Hauptnutzfläche, der Verkehrsfläche und der Konstruktionsfläche unter Berücksichtigung der Ausnahmen nach Art. 16 Abs. 2 - 4 BauG. Obwohl einzig Art. 16 Abs. 2 BauG explizit Bezug nehme auf die SIA-Norm 416, "erhelle", dass sich sämtliche der in Art. 16 BauG verwendeten Begriffe - insbesondere die in Abs. 5 verwendeten - an die SIA-Norm 416 "anlehnten". Nach dieser sei die Verkehrsfläche Bestandteil der Nettogeschossfläche, welche ihrerseits als "Teil der Geschossfläche zwischen den umschliessenden oder innenliegenden Konstruktionsteilen" definiert sei. Die Geschossfläche sei die "allseitig umschlossene und überdeckte Grundrissfläche der zugänglichen Geschosse einschliesslich der Konstruktionsflächen". Sei die Verkehrsfläche somit Teil der Nettogeschossfläche respektive der Geschossfläche, könne sie folglich nur Flächen umfassen, die allseitig umschlossen und überdeckt seien respektive zwischen den umschliessenden oder innenliegenden Konstruktionsbauteilen lägen. Somit seien offene Treppenhäuser nicht Teil der Verkehrsfläche, weil sie eben gegen aussen nicht abgeschlossen seien.</w:t>
      </w:r>
    </w:p>
    <w:p>
      <w:r>
        <w:t>3.</w:t>
      </w:r>
    </w:p>
    <w:p>
      <w:r>
        <w:rPr>
          <w:b/>
        </w:rPr>
        <w:t>E. 3</w:t>
      </w:r>
    </w:p>
    <w:p>
      <w:r>
        <w:t>Folgende Flächen werden zusätzlich zur anrechenbaren Geschossfläche gezählt:</w:t>
      </w:r>
    </w:p>
    <w:p>
      <w:r>
        <w:t>- Innerhalb von Wohnungen liegende Waschküchen, Abstell- und Nebenräume</w:t>
      </w:r>
    </w:p>
    <w:p>
      <w:r>
        <w:t>- Voll verglaste Balkone, Terrassen und Veranden, unabhängig von ihrer Beheizbarkeit</w:t>
      </w:r>
    </w:p>
    <w:p>
      <w:r>
        <w:t>- Übersteigt die Höhe der Geschosse 4.50 m, so wird pro 3.00 m Gebäudehöhe ein Geschoss berechnet und die zugehörige Geschossfläche ermittelt. Ausgenommen von dieser Regelung sind gewerblich genutzte Gewerbebauten.</w:t>
      </w:r>
    </w:p>
    <w:p>
      <w:r>
        <w:rPr>
          <w:b/>
        </w:rPr>
        <w:t>E. 3.1</w:t>
      </w:r>
    </w:p>
    <w:p>
      <w:r>
        <w:t>Sowohl die Beschwerdeführer als auch das Verwaltungsgericht gehen davon aus, dass sich die zulässige Ausnützung in erster Linie nach kommunalem Baurecht bestimmt, nicht nach kantonalen Vorschriften. Da dies unbestritten ist, kann ohne weiteres davon ausgegangen werden, zumal das Bundesgericht wiederholt festgestellt hat, dass den Bündner Gemeinden im Bereich des Bauwesens Autonomie zukommt ( BGE 128 I 3 E 2b; Urteil 1P.487/2004 vom 6. Juni 2005 E. 3.1).</w:t>
      </w:r>
    </w:p>
    <w:p>
      <w:r>
        <w:rPr>
          <w:b/>
        </w:rPr>
        <w:t>E. 3.2.1</w:t>
      </w:r>
    </w:p>
    <w:p>
      <w:r>
        <w:t>Unbestritten ist, dass Treppenhäuser Verkehrsflächen sind; solche zählen nach der ausdrücklichen Vorschrift von Art. 16 Abs. 5 BauG zur anrechenbaren Geschossfläche. Diese Bestimmung wird, wie sich aus den Protokollen der Baukommission vom 7. und vom 21 August 2012 ergibt, auf welche die Beschwerdeführer verweisen, von der Baukommission der Gemeinde entsprechend ihrem klaren Wortlaut verstanden und in dem Sinn angewendet, dass Treppenhäuser stets zur anrechenbaren Geschossfläche zu zählen sind, gleichgültig darum, ob deren Öffnungen mit Türen und Fenstern verschlossen werden oder nicht. Dies entspricht offensichtlich auch dem Zweck von Art. 16 Abs. 5 BauG. Ein vollständig innerhalb des Gebäudekubus liegendes, internes Treppenhaus in Bezug auf die Ausnützung anders zu behandeln, je nachdem ob die Fassadenöffnungen geschlossen sind oder nicht, ist sachlich nicht vertretbar. Abgesehen davon ist das Offenhalten von Fensteröffnungen der Nordfassade in einem Wintersportort wie Disentis mit dem entsprechend saisonal rauen Klima ohnehin nicht zweckmässig und war offensichtlich auch nicht so geplant. Deren spätere auflagewidrige Schliessung, um das Eindringen von Regen und Schnee, die Vereisung der Treppen und damit die Unfallgefahr sowie die vorzeitige Alterung der Gebäudesubstanz zu verhindern, wäre auf Dauer wohl kaum abzuwenden.</w:t>
      </w:r>
    </w:p>
    <w:p>
      <w:r>
        <w:rPr>
          <w:b/>
        </w:rPr>
        <w:t>E. 3.2.2</w:t>
      </w:r>
    </w:p>
    <w:p>
      <w:r>
        <w:t>Nach den in E. 3.2.1 zitierten Protokollen der Baukommission hat der Gemeindevorstand (entgegen der Auffassung der Baukommission) angesichts der speziellen wirtschaftlichen Lage der Beschwerdegegnerin ("situatiun economica speciala dall'interpresa") beschlossen, die Baubewilligung zu erteilen, verbunden mit der Auflage, die Fassadenöffnungen des Treppenhauses nicht zu schliessen. Es ist indessen offensichtlich willkürlich, entgegen der konstanten Praxis der Baukommission zu Art. 16 Abs. 5 BauG das Treppenhaus nicht zur anrechenbaren Geschossfläche zu zählen, um einem sich in wirtschaftlichen Schwierigkeiten befindenden Bauherrn eine höhere Ausnützung und damit wirtschaftliche Vorteile zu verschaffen. Solches ist im BauG nicht vorgesehen, sachfremd und unhaltbar.</w:t>
      </w:r>
    </w:p>
    <w:p>
      <w:r>
        <w:rPr>
          <w:b/>
        </w:rPr>
        <w:t>E. 3.2.3</w:t>
      </w:r>
    </w:p>
    <w:p>
      <w:r>
        <w:t>Die Auslegung des Verwaltungsgerichts, mit dem es die Erteilung der Baubewilligungen im Ergebnis schützte, ist schon im Ansatz nicht nachvollziehbar. Art. 16 Abs. 2 BauG benennt drei Arten von Flächen, die nicht an die Ausnützung anzurechnen sind, nämlich solche mit einer lichten Höhe von unter 1.60 m, die Nebennutzflächen und die Funktionsflächen, wobei für die Begriffsbestimmung der letzteren beiden die SIA-Norm 416 gelten soll. Inwiefern sich dieser präzise Verweis entgegen der kommunalen Praxis und dem Gesetzeswortlaut allgemein auch auf alle anderen in Art. 16 BauG verwendeten Begriffe beziehen soll, ist unerfindlich, sind doch die Bündner Gemeinden in der Anwendung des kommunalen Baurechts autonom. Darüber hinaus erscheint auch die Auslegung der SIA-Norm 416 durch das Verwaltungsgericht wenig sachgerecht und alles andere als zwingend. Ob es mit deren Sinn wirklich vereinbar wäre, ein geschlossen geplantes und damit klarerweise als Verkehrsfläche anrechenbares Treppenhaus von der Ausnützung auszunehmen, indem man auf das Einsetzen der Fenster verzichtet (auf dem nachgereichten, am 28. August 2012 von der Gemeinde genehmigten Plan Grundriss Erdgeschoss sind jedenfalls für das Gebäude auf der Parzelle Nr. 1046 Eingangstüren eingezeichnet, sodass wohl davon ausgegangen werden kann, dass nur die Fensteröffnungen offen bleiben sollen), erscheint mehr als fraglich.</w:t>
      </w:r>
    </w:p>
    <w:p>
      <w:r>
        <w:rPr>
          <w:b/>
        </w:rPr>
        <w:t>E. 3.2.4</w:t>
      </w:r>
    </w:p>
    <w:p>
      <w:r>
        <w:t>Zusammenfassend ist festzuhalten, dass die Bauvorhaben die zulässige Ausnützung deutlich sprengen und von der Gemeinde aus einem sachfremden Motiv willkürlich bewilligt wurden. Der Versuch des Verwaltungsgerichts, die Baubewilligungen durch eine der konstanten Praxis der zuständigen kommunalen Baukommission widersprechende, sachlich kaum haltbare Auslegung des kommunalen Baugesetzes und einer einschlägigen SIA-Norm im Ergebnis zu schützen, ist mit der Gemeindeautonomie nicht vereinbar. Die Rügen sind begründet.</w:t>
      </w:r>
    </w:p>
    <w:p>
      <w:r>
        <w:t>4.</w:t>
      </w:r>
    </w:p>
    <w:p>
      <w:r>
        <w:t>Die Beschwerde ist somit gutzuheissen, der angefochtene Entscheid des Verwaltungsgerichts aufzuheben und die Sache zur Neuregelung der Kosten- und Entschädigungsfolgen an die Vorinstanz zurückzuweisen. Bei diesem Ausgang des Verfahrens trägt die Beschwerdegegnerin die Kosten ( Art. 64 Abs. 1 BGG ). Sie hat ausserdem den obsiegenden Beschwerdeführern für das bundesgerichtliche Verfahren eine an</w:t>
      </w:r>
    </w:p>
    <w:p>
      <w:r>
        <w:t>gemessene Parteientschädigung zu bezahlen ( Art. 68 Abs. 1 und 2 BGG ).</w:t>
      </w:r>
    </w:p>
    <w:p>
      <w:r>
        <w:rPr>
          <w:b/>
        </w:rPr>
        <w:t>E. 4</w:t>
      </w:r>
    </w:p>
    <w:p>
      <w:r>
        <w:t>(..)</w:t>
      </w:r>
    </w:p>
    <w:p>
      <w:r>
        <w:rPr>
          <w:b/>
        </w:rPr>
        <w:t>E. 5</w:t>
      </w:r>
    </w:p>
    <w:p>
      <w:r>
        <w:t>Die anrechenbare Geschossfläche aGF besteht aus folgenden Komponenten: Hauptnutzflächen HNZ, Verkehrsflächen VF und Konstruktionsflächen KF unter Berücksichtigung der Ausnahmen nach Abs. 2, 3 und 4. (.. Formeln)</w:t>
      </w:r>
    </w:p>
    <w:p>
      <w:r>
        <w:rPr>
          <w:b/>
        </w:rPr>
        <w:t>E. 6</w:t>
      </w:r>
    </w:p>
    <w:p>
      <w:r>
        <w:t>(..) und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