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1C_163/2008 vom 8. Januar 2009</w:t>
      </w:r>
    </w:p>
    <w:p>
      <w:r>
        <w:t>Bundesgericht, 2009-01-08, DE</w:t>
      </w:r>
    </w:p>
    <w:p>
      <w:r>
        <w:rPr>
          <w:b/>
        </w:rPr>
        <w:t xml:space="preserve">Quelle: </w:t>
      </w:r>
      <w:r>
        <w:t>https://mcp.opencaselaw.ch/entscheid/bger_1C_163_2008</w:t>
      </w:r>
    </w:p>
    <w:p>
      <w:r>
        <w:t>FR: TF 1C_163/2008 du 8 janvier 2009</w:t>
      </w:r>
    </w:p>
    <w:p>
      <w:r>
        <w:t>IT: TF 1C_163/2008 del 8 gennaio 2009</w:t>
      </w:r>
    </w:p>
    <w:p>
      <w:pPr>
        <w:pStyle w:val="Heading2"/>
      </w:pPr>
      <w:r>
        <w:t>Erwägungen</w:t>
      </w:r>
    </w:p>
    <w:p>
      <w:r>
        <w:rPr>
          <w:b/>
        </w:rPr>
        <w:t>E. 1.1</w:t>
      </w:r>
    </w:p>
    <w:p>
      <w:r>
        <w:t>Beim angefochtenen Urteil handelt es sich um einen kantonal letztinstanzlichen Endentscheid ( Art. 90 BGG ). Gestützt auf Art. 82 lit. a BGG beurteilt das Bundesgericht Beschwerden gegen Entscheide in Angelegenheiten des öffentlichen Rechts. Dieses Rechtsmittel steht auch auf dem Gebiet des Raumplanungs- und Baurechts zur Verfügung. Das Bundesgerichtsgesetz enthält dazu keinen Ausschlussgrund. Gemäss Art. 34 Abs. 1 RPG in der Fassung nach Ziff. 64 des Anhangs zum Bundesgesetz vom 17. Juni 2005 über das Bundesverwaltungsgericht (VGG; SR 173.32; vgl. AS 2006 2261) gelten für die Rechtsmittel an die Bundesbehörden die allgemeinen Bestimmungen über die Bundesrechtspflege ( BGE 133 II 249 E. 1.2 S. 251). Die umstrittenen Beschlüsse der Gemeinde betreffen Teile des kommunalen Nutzungsplans, die vor Bundesgericht den Regeln über die Anfechtung von Verfügungen im Sinne von Art. 82 lit. a BGG unterworfen sind ( BGE 133 II 353 E. 3.3 S. 358; vgl. BGE 117 Ia 302 E. 3 S. 305 f.; 116 Ia 207 E. 3b S. 211, je mit Hinweisen). Erfüllt ist auch die weitere, vom Bundesgericht verlangte Eintretensvoraussetzung, nämlich die Genehmigung der umstrittenen Planung (vgl. dazu das Urteil 1C_212/2008 des Bundesgerichts vom 17. November 2008, E. 2.3). Wie das DBU in seinem Rekursentscheid vom 12. Juli 2007 in lit. F S. 4 festhält, hatte es die Teilrevision mit Entscheid Nr. 55 am Tag zuvor genehmigt.</w:t>
      </w:r>
    </w:p>
    <w:p>
      <w:r>
        <w:rPr>
          <w:b/>
        </w:rPr>
        <w:t>E. 1.2</w:t>
      </w:r>
    </w:p>
    <w:p>
      <w:r>
        <w:t>Als Miteigentümer der Parzelle Nr. 1352, die gemäss dem revidierten Zonenplan in der W2 liegt und vorher der Reservebauzone zugeteilt war, ist der Beschwerdeführer im Sinne von Art. 89 BGG zur Beschwerdeführung legitimiert (vgl. das Urteil 1C_153/2007 vom 6. Dezember 2007 E. 1.3). Die Beschwerde wurde frist- und formgerecht erhoben. Insoweit sind die Eintretensvoraussetzungen - unter Vorbehalt der E. 1.3 und 1.4 - hiernach erfüllt.</w:t>
      </w:r>
    </w:p>
    <w:p>
      <w:r>
        <w:rPr>
          <w:b/>
        </w:rPr>
        <w:t>E. 1.3</w:t>
      </w:r>
    </w:p>
    <w:p>
      <w:r>
        <w:t>Nach Art. 42 Abs. 2 BGG ist in der Begründung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 Strengere Anforderungen gelten, wenn - wie hier - die Verletzung von Grundrechten (einschliesslich der willkürlichen Anwendung von kantonalem Recht und Willkür bei der Sachverhaltsfeststellung - BGE 133 II 249 E. 1.4.3 S. 255) geltend gemacht wird. Dies prüft das Bundesgericht nicht von Amtes wegen, sondern nur insoweit, als eine solche Rüge in der Beschwerde vorgebracht und begründet worden ist ( Art. 106 Abs. 2 BGG ). Für derartige Rügen gelten die gleichen Begründungsanforderungen, wie sie gestützt auf Art. 90 Abs. 1 lit. b OG für die staatsrechtliche Beschwerde gegolten haben ( BGE 133 II 249 E. 1.4.2 S. 254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130 I 258 E. 1.3 S. 261 mit Hinweisen).</w:t>
      </w:r>
    </w:p>
    <w:p>
      <w:r>
        <w:rPr>
          <w:b/>
        </w:rPr>
        <w:t>E. 1.4</w:t>
      </w:r>
    </w:p>
    <w:p>
      <w:r>
        <w:t>Der Beschwerdeführer macht die Verletzung von Bundesrecht und kantonalen verfassungsmässigen Rechten geltend, mithin von Beschwerdegründen i.S.v. Art. 95 BGG . Seine Rügen sind darum sämtliche im Rahmen der Beschwerde in öffentlich-rechtlichen Angelegenheiten zu prüfen. Die subsidiäre Verfassungsbeschwerde gelangt im vorliegenden Fall nicht zur Anwendung, weshalb darauf nicht einzutreten ist.</w:t>
      </w:r>
    </w:p>
    <w:p>
      <w:r>
        <w:rPr>
          <w:b/>
        </w:rPr>
        <w:t>E. 2</w:t>
      </w:r>
    </w:p>
    <w:p>
      <w:r>
        <w:t>Der Beschwerdeführer vertritt den Standpunkt, das gemäss bisherigem Zonenplan 1990 nach damaligem Recht der Reservebauzone zugeteilte Gebiet nordseits der Lerchenbohlstrasse stelle rechtlich keine Bauzone und insbesondere keine bundesrechtskonforme Nutzungszone im Sinne von Art. 15 RPG dar. Die im Rahmen der Zonenplanrevision vorgenommene Zuteilung dieses Gebietes zur Wohnzone W2 bedeute darum rechtlich und tatsächlich eine Neueinzonung und habe eine materielle Zonenplanänderung zur Folge. Die Behandlung der Reservebauzone als angeblich bereits bestehende Bauzone sei mit Art. 15 RPG nicht vereinbar und bundesrechtswidrig. Im Auflageplan sei das betreffende Gebiet grau unterlegt, somit ausdrücklich als "keine Änderung" taxiert worden. Damit sei die Einzonung auch nicht Gegenstand des Auflage- und Einspracheverfahrens geworden, wodurch die Verfahrensvorschriften der §§ 29 ff. des kantonalen Planungs- und Baugesetzes vom 16. August 1995 (PBG/TG; RB 700) verletzt worden seien. Daran ändere nichts, dass der Beschwerdeführer trotzdem Einsprache erhoben habe. Seine Rügen seien von grundsätzlicher Bedeutung. Die Behauptung der Vorinstanz, es liege weder eine Neueinzonung noch eine Umzonung vor, verletze auch die verfassungsrechtlichen Ansprüche des Beschwerdeführers auf Einhaltung verfahrensrechtlicher Garantien gemäss Art. 29 BV und §§ 13 und 14 der Kantonsverfassung vom 16. März 1987 (KV/TG; RB 101).</w:t>
      </w:r>
    </w:p>
    <w:p>
      <w:r>
        <w:rPr>
          <w:b/>
        </w:rPr>
        <w:t>E. 2.1</w:t>
      </w:r>
    </w:p>
    <w:p>
      <w:r>
        <w:t>Das Bundesgericht hat sich schon mehrfach zur Thurgauer Reservebauzone geäussert und diese als Nichtbauzone qualifiziert. Es kann darum vollumfänglich auf die entsprechende Rechtsprechung verwiesen werden ( BGE 112 Ia 155 E. 2b und 2c S. 157 ff.; 112 Ib 388 E. 4c S. 391 f.; Urteil 1A.20/1989 vom 10. November 1989 E. 4c [publ. in ZBl 93/1992 S. 133, 136 f.]; vgl. BGE 116 Ia 335 nicht publ. E. 2c). Unbehelflich ist darum auch die Bezugnahme des Verwaltungsgerichts auf § 2 der Verordnung des Regierungsrates zur Einführung des Bundesgesetzes über die Raumplanung vom 14. April 1987 (RRV RPG) und die neue (inzwischen aufgehobene) Bestimmung in § 36 PBG /TG. Dazu kann das zuletzt zu dieser Thematik ergangene Urteil 1A.219/2006 des Bundesgerichts vom 2. April 2007 zitiert werden. Auch die unter dem Regime der § § 35 und 36 PBG /TG ausgeschiedenen Reservebauzonen können nach dieser Rechtsprechung und nach § 36 Abs. 1 PBG /TG nur über ein formelles Planänderungs- bzw. Einzonungsverfahren der Bauzone zugeschlagen werden. Die Gesetzesänderung vom 21. November 2001 vermag darum aus einer altrechtlichen Reservebauzone nicht eine definitive Bauzone zu schaffen. Dadurch, dass dies vorliegend zugelassen worden ist, wurde dem Beschwerdeführer ein Verfahren vorenthalten. Das Verwaltungsgericht stellt selber fest, es sei weder eine öffentliche Bekanntmachung noch eine schriftliche Mitteilung an die betroffenen Grundeigentümer erfolgt, welche auf die Umwandlung der Reservebau- in die Bauzone aufmerksam gemacht hätte. Aus dem Umstand, dass der Beschwerdeführer seine Rechte dennoch wahrgenommen hat, lässt sich nicht schliessen, die Ein- respektive Umzonung sei rechtmässig erfolgt. Das Vorgehen der kantonalen Behörden stellt eine unzulässige Rechtsverweigerung dar.</w:t>
      </w:r>
    </w:p>
    <w:p>
      <w:r>
        <w:rPr>
          <w:b/>
        </w:rPr>
        <w:t>E. 2.2</w:t>
      </w:r>
    </w:p>
    <w:p>
      <w:r>
        <w:t>Weitergehende Ausführungen hierzu sind mit Blick auf die klare Rechtsprechung, welche insbesondere auch zu den § § 36 und 111bis PBG /TG Stellung bezieht, nicht nötig (Urteil 1A.219/2006 vom 2. April 2007 E. 5 f.).</w:t>
      </w:r>
    </w:p>
    <w:p>
      <w:r>
        <w:rPr>
          <w:b/>
        </w:rPr>
        <w:t>E. 2.3</w:t>
      </w:r>
    </w:p>
    <w:p>
      <w:r>
        <w:t>Offen bleiben kann, ob mit der Planauflage auch die § § 13 und 14 KV/TG verletzt wurden, da die kantonalen Verfahrensgarantien aufgrund ihres Wortlautes nicht weiter gehen dürften als Art. 29 BV .</w:t>
      </w:r>
    </w:p>
    <w:p>
      <w:r>
        <w:rPr>
          <w:b/>
        </w:rPr>
        <w:t>E. 3</w:t>
      </w:r>
    </w:p>
    <w:p>
      <w:r>
        <w:t>Erwägungen zur Bauzonengrösse erübrigen sich damit grundsätzlich, da die Beschwerde aus den vorstehenden Gründen gutzuheissen ist. Im Planungsverfahren, welches als Folge dieses Urteils durchzuführen sein wird, gilt es indessen eingehend zu prüfen, ob die Einzonungsvoraussetzungen der umstrittenen Parzellen mit Blick auf Art. 15 RPG erfüllt sind. Namentlich ist der Frage, ob der Baulandbedarf im Sinne von Art. 15 lit. b RPG ausgewiesen ist, besondere Beachtung zu schenken (vgl. dazu das jüngste Urteil des Bundesgerichts 1C_119/2007 vom 13. November 2008).</w:t>
      </w:r>
    </w:p>
    <w:p>
      <w:r>
        <w:rPr>
          <w:b/>
        </w:rPr>
        <w:t>E. 4</w:t>
      </w:r>
    </w:p>
    <w:p>
      <w:r>
        <w:t>Insgesamt ergibt sich aus den vorstehenden Erwägungen, dass die Beschwerde gutzuheissen und das angefochtene Urteil aufzuheben ist. Auf die subsidiäre Verfassungsbeschwerde ist nicht einzutreten. Bei diesem Verfahrensausgang sind keine Kosten zu erheben ( Art. 66 Abs. 4 BGG ). Nachdem sich das Bundesgericht bereits verschiedentlich zur Reservebauzone im Kanton Thurgau geäussert hat und das Verwaltungsgericht dennoch an seiner Praxis festgehalten hat, rechtfertigt es sich, dem Beschwerdeführer eine Parteientschädigung zuzusprechen, welche vom Kanton Thurgau zu übernehmen ist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