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161/2011 vom 11. April 2011</w:t>
      </w:r>
    </w:p>
    <w:p>
      <w:r>
        <w:t>Bundesgericht, 2011-04-11, FR</w:t>
      </w:r>
    </w:p>
    <w:p>
      <w:r>
        <w:rPr>
          <w:b/>
        </w:rPr>
        <w:t xml:space="preserve">Quelle: </w:t>
      </w:r>
      <w:r>
        <w:t>https://mcp.opencaselaw.ch/entscheid/bger_1C_161_2011</w:t>
      </w:r>
    </w:p>
    <w:p>
      <w:r>
        <w:t>FR: TF 1C 161/2011 du 11 avril 2011</w:t>
      </w:r>
    </w:p>
    <w:p>
      <w:r>
        <w:t>IT: TF 1C 161/2011 del 11 aprile 2011</w:t>
      </w:r>
    </w:p>
    <w:p>
      <w:pPr>
        <w:pStyle w:val="Heading2"/>
      </w:pPr>
      <w:r>
        <w:t>Regeste</w:t>
      </w:r>
    </w:p>
    <w:p>
      <w:r>
        <w:t>Entraide judiciaire internationale en matière pénale à la France, qualité pour recourir | Entraide et extradition</w:t>
      </w:r>
    </w:p>
    <w:p>
      <w:pPr>
        <w:pStyle w:val="Heading2"/>
      </w:pPr>
      <w:r>
        <w:t>Erwägungen</w:t>
      </w:r>
    </w:p>
    <w:p>
      <w:r>
        <w:rPr>
          <w:b/>
        </w:rPr>
        <w:t>E. 1</w:t>
      </w:r>
    </w:p>
    <w:p>
      <w:r>
        <w:t>Selon l' art. 109 al. 1 LTF , la cour siège à trois juges lorsqu'elle refuse d'entrer en matière sur un recours soumis à l'exigence de l' art. 84 LTF .</w:t>
      </w:r>
    </w:p>
    <w:p>
      <w:r>
        <w:rPr>
          <w:b/>
        </w:rPr>
        <w:t>E. 1.1</w:t>
      </w:r>
    </w:p>
    <w:p>
      <w:r>
        <w:t>A teneur de cette disposition, le recours est notamment recevable à l'encontre d'un arrêt du Tribunal pénal fédéral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 recourant de démontrer que les conditions d'entrée en matière posées à l' art. 84 LTF sont réunies ( ATF 133 IV 131 consid. 3 p. 132).</w:t>
      </w:r>
    </w:p>
    <w:p>
      <w:r>
        <w:rPr>
          <w:b/>
        </w:rPr>
        <w:t>E. 1.2</w:t>
      </w:r>
    </w:p>
    <w:p>
      <w:r>
        <w:t>La présente espèce porte certes sur la transmission de renseignements touchant le domaine secret. Toutefois, compte tenu des faits à l'origine de la demande et de la nature de la transmission envisagée, portant sur la documentation relative à un compte déterminé et sur une communication de la banque Y.________, le cas ne revêt en soi aucune importance particulière.</w:t>
      </w:r>
    </w:p>
    <w:p>
      <w:r>
        <w:rPr>
          <w:b/>
        </w:rPr>
        <w:t>E. 1.3</w:t>
      </w:r>
    </w:p>
    <w:p>
      <w:r>
        <w:t>Le recourant estime que le TPF se serait écarté de la jurisprudence relative à la qualité pour agir d'un ayant droit en cas de dissolution de la société titulaire d'un compte bancaire.</w:t>
      </w:r>
    </w:p>
    <w:p>
      <w:r>
        <w:rPr>
          <w:b/>
        </w:rPr>
        <w:t>E. 1.3.1</w:t>
      </w:r>
    </w:p>
    <w:p>
      <w:r>
        <w:t>Selon la jurisprudence relative aux art. 80h let. b EIMP et 9a let. a OEIMP, a seul qualité pour s'opposer à la transmission de la documentation relative à un compte bancaire, le titulaire de celui-ci ( ATF 127 II 198 consid 2d p. 205; 126 II 258 consid. 2d/aa p. 260; 125 II 356 consid. 3b/bb p. 362, et les arrêts cités). Exceptionnellement la qualité pour agir est reconnue à l'ayant droit d'une société titulaire de compte lorsque celle-ci a été dissoute, sous réserve de l'abus de droit ( ATF 123 II 153 consid. 2c et dd p. 157/158). Il appartient dans ce cas à l'ayant droit de prouver la liquidation, documents officiels à l'appui (arrêts 1A.10/2000 du 18 mai 2000, consid. 1e; 1A.131/1999 du 26 août 1999, consid. 3 et 1A.236/1998 du 25 janvier 1999, consid. 1b/bb). Il faut en outre que l'acte de dissolution indique clairement l'ayant droit comme son bénéficiaire (arrêt 1A.216/2001 du 21 mars 2002, consid. 1.3; 1A.84/1999 du 31 mai 1999, consid. 2c), et que la liquidation n'apparaisse pas abusive.</w:t>
      </w:r>
    </w:p>
    <w:p>
      <w:r>
        <w:rPr>
          <w:b/>
        </w:rPr>
        <w:t>E. 1.3.2</w:t>
      </w:r>
    </w:p>
    <w:p>
      <w:r>
        <w:t>La Cour des plaintes a considéré que le solde du compte avait été transféré en faveur d'une société tierce, de sorte que le recourant n'en était pas le bénéficiaire. Le recourant en déduit que le TPF aurait posé une condition supplémentaire à l'admission de sa qualité pour recourir. Il n'en est rien: la Cour des plaintes a préalablement constaté qu'aucun document officiel ne permettait d'établir que le recourant aurait été le bénéficiaire de la liquidation, ce qui correspond aux conditions rappelées ci-dessus. Le fait que les fonds aient été versés à une société sans rapport apparent avec le recourant ne vient que confirmer cette constatation, ce qui n'empêchait pas le recourant d'établir, pièces à l'appui, qu'il était bien le bénéficiaire de la liquidation. L'arrêt attaqué est dès lors conforme à la jurisprudence confirmée par le Tribunal fédéral.</w:t>
      </w:r>
    </w:p>
    <w:p>
      <w:r>
        <w:rPr>
          <w:b/>
        </w:rPr>
        <w:t>E. 1.4</w:t>
      </w:r>
    </w:p>
    <w:p>
      <w:r>
        <w:t>Les violations des garanties procédurales dont se plaint par ailleurs le recourant ne sont pas, elles non plus, propres à faire de la présente cause un cas particulièrement important. L'application de la jurisprudence précitée ne constitue nullement un formalisme excessif, dans la mesure où il ne suffit pas au recourant d'être l'ayant droit économique de la société liquidée, mais qu'il doit en plus être le bénéficiaire de la liquidation, ce dont la preuve n'a pas été rapportée en l'espèce. Le recourant se plaint de ne pas avoir été préalablement interpellé, mais ne démontre pas qu'il aurait été en mesure d'apporter la preuve requise. A cet égard, il est douteux que l'attestation du 4 avril 2011 - nouvelle et, par conséquent irrecevable en vertu de l' art. 99 al. 1 LTF - produite par l'administratrice unique de la société, puisse être considérée comme un document officiel de la liquidation. Enfin, le fait que le recourant a été invité à participer à la procédure devant l'autorité d'exécution ne liait nullement l'autorité de recours, qui pouvait légitimement s'en tenir aux critères plus stricts fixés par la jurisprudence. Au surplus, le recourant ne critique pas le refus d'entrer en matière du TPF en ce qui concerne la communication de la banque Y.________.</w:t>
      </w:r>
    </w:p>
    <w:p>
      <w:r>
        <w:rPr>
          <w:b/>
        </w:rPr>
        <w:t>E. 1.5</w:t>
      </w:r>
    </w:p>
    <w:p>
      <w:r>
        <w:t>Enfin, l'invocation du principe de la proportionnalité ne constitue à l'évidence pas un motif d'entrer en matière, faute de quoi les conditions restrictives de l' art. 84 LTF seraient systématiquement contournées.</w:t>
      </w:r>
    </w:p>
    <w:p>
      <w:r>
        <w:rPr>
          <w:b/>
        </w:rPr>
        <w:t>E. 2</w:t>
      </w:r>
    </w:p>
    <w:p>
      <w:r>
        <w:t>Faute de porter sur un cas particulièrement important, le recours est dès lors irrecevable. Conformément à l' art. 66 al. 1 LTF , les frais judiciaires sont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