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1C_15/2025 vom 13. Januar 2025</w:t>
      </w:r>
    </w:p>
    <w:p>
      <w:r>
        <w:t>Bundesgericht, 2025-01-13, FR</w:t>
      </w:r>
    </w:p>
    <w:p>
      <w:r>
        <w:rPr>
          <w:b/>
        </w:rPr>
        <w:t xml:space="preserve">Quelle: </w:t>
      </w:r>
      <w:r>
        <w:t>https://mcp.opencaselaw.ch/entscheid/bger_1C_15_2025</w:t>
      </w:r>
    </w:p>
    <w:p>
      <w:r>
        <w:t>FR: TF 1C_15/2025 du 13 janvier 2025</w:t>
      </w:r>
    </w:p>
    <w:p>
      <w:r>
        <w:t>IT: TF 1C_15/2025 del 13 gennaio 2025</w:t>
      </w:r>
    </w:p>
    <w:p>
      <w:pPr>
        <w:pStyle w:val="Heading2"/>
      </w:pPr>
      <w:r>
        <w:t>Erwägungen</w:t>
      </w:r>
    </w:p>
    <w:p>
      <w:r>
        <w:rPr>
          <w:b/>
        </w:rPr>
        <w:t>E. 1</w:t>
      </w:r>
    </w:p>
    <w:p>
      <w:r>
        <w:t>Par décision du 3 décembre 2024, la Présidente suppléante de la IIIe Cour administrative Tribunal cantonal de l'État de Fribourg a déclaré manifestement irrecevable le recours formé par A.________ contre l'interdiction de conduire en Suisse d'une durée d'un mois prononcée le 1er octobre 2024 à son encontre par l'Office cantonal de la circulation et de la navigation, faute pour l'intéressé d'avoir versé l'avance des frais de procédure requise de 800 fr. dans le délai imparti à cet effet.</w:t>
      </w:r>
    </w:p>
    <w:p>
      <w:r>
        <w:t>Par acte daté du 30 décembre 2024, reçu le 13 janvier 2025, A.________ recourt contre cette décision auprès du Tribunal fédéral.</w:t>
      </w:r>
    </w:p>
    <w:p>
      <w:r>
        <w:t>Il n'a pas été ordonné d'échange d'écritures.</w:t>
      </w:r>
    </w:p>
    <w:p>
      <w:r>
        <w:rPr>
          <w:b/>
        </w:rPr>
        <w:t>E. 2</w:t>
      </w:r>
    </w:p>
    <w:p>
      <w:r>
        <w:t>La décision attaquée est une décision d'irrecevabilité prise en dernière instance cantonale concernant sur le fond une interdiction de conduire prononcée en application de la loi fédérale sur la circulation routière. Elle peut donc faire l'objet d'un recours en matière de droit public au sens des art. 82 ss de la loi sur le Tribunal fédéral (LTF; RS 173.110).</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w:t>
      </w:r>
    </w:p>
    <w:p>
      <w:r>
        <w:t>Le recourant ne développe aucune argumentation topique en lien avec l'irrecevabilité de son recours liée au défaut de versement de l'avance de frais requise. Il s'en prend exclusivement au fond du litige, arguant que ni lui ni son véhicule ne se trouvaient en Suisse au moment de la soi-disant infraction. Son recours ne répond ainsi pas aux exigences de motivation requises lorsqu'il est dirigé, comme en l'espèce, contre une décision d'irrecevabilité et est irrecevable.</w:t>
      </w:r>
    </w:p>
    <w:p>
      <w:r>
        <w:rPr>
          <w:b/>
        </w:rPr>
        <w:t>E. 3</w:t>
      </w:r>
    </w:p>
    <w:p>
      <w:r>
        <w:t>La cause d'irrecevabilité étant manifeste, le présent arrêt sera rendu selon la procédure simplifiée prévue par l' art. 108 al. 1 let. b LTF . Vu les circonstances, il sera renoncé à percevoir des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