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15/2011 vom 7. März 2011</w:t>
      </w:r>
    </w:p>
    <w:p>
      <w:r>
        <w:t>Bundesgericht, 2011-03-07, DE</w:t>
      </w:r>
    </w:p>
    <w:p>
      <w:r>
        <w:rPr>
          <w:b/>
        </w:rPr>
        <w:t xml:space="preserve">Quelle: </w:t>
      </w:r>
      <w:r>
        <w:t>https://mcp.opencaselaw.ch/entscheid/bger_1C_15_2011</w:t>
      </w:r>
    </w:p>
    <w:p>
      <w:r>
        <w:t>FR: TF 1C 15/2011 du 7 mars 2011</w:t>
      </w:r>
    </w:p>
    <w:p>
      <w:r>
        <w:t>IT: TF 1C 15/2011 del 7 marzo 2011</w:t>
      </w:r>
    </w:p>
    <w:p>
      <w:pPr>
        <w:pStyle w:val="Heading2"/>
      </w:pPr>
      <w:r>
        <w:t>Regeste</w:t>
      </w:r>
    </w:p>
    <w:p>
      <w:r>
        <w:t>Nichitigerklärung der erleichterten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erleichterten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 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Die Beschwerdeführerin hat sich am Verfahren vor der Vorinstanz beteiligt. Ihre Legitimation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Die Beschwerdeführerin macht geltend, der rechtserhebliche Sachverhalt könne nur durch eine Anhörung ihres früheren Ehemannes festgestellt werden. Nur er und die Beschwerdeführerin könnten erklären, dass der Wille zur ehelichen Gemeinschaft erst im September bzw. Oktober 2004 erloschen sei. Die Vorinstanz habe auf die Anhörung nicht verzichten dürfen.</w:t>
      </w:r>
    </w:p>
    <w:p>
      <w:r>
        <w:rPr>
          <w:b/>
        </w:rPr>
        <w:t>E. 2.2</w:t>
      </w:r>
    </w:p>
    <w:p>
      <w:r>
        <w:t>Das Bundesgericht legt seinem Urteil den Sachverhalt zugrunde, den die Vorinstanz festgestellt hat ( Art. 105 Abs. 1 BGG ). Die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w:t>
      </w:r>
    </w:p>
    <w:p>
      <w:r>
        <w:rPr>
          <w:b/>
        </w:rPr>
        <w:t>E. 2.3</w:t>
      </w:r>
    </w:p>
    <w:p>
      <w:r>
        <w:t>Es trifft zu, dass die Vorinstanz den früheren Ehemann der Beschwerdeführerin nicht befragte. Er wurde aber bereits im Auftrag des Bundesamtes durch die Polizei zur Sache befragt. Die Vorinstanz hat seine Aussagen gewürdigt. Inwiefern sie dabei in Willkür verfallen sein soll, legt die Beschwerdeführerin nicht dar. Die von der Beschwerdeführerin als absurd bezeichnete Annahme der Vorinstanz, die Beschwerdeführerin habe die finanzielle Unterstützung ihrer Familie über die eheliche Gemeinschaft gestellt, ist keine entscheidrelevante Feststellung, da es auf eine solche Rangfolge der finanziellen Prioritäten nicht ankommt ( Art. 97 Abs. 1 BGG ). Die Beschwerdeführerin macht auch nicht geltend, der Verzicht der Vorinstanz auf Anhörung ihres früheren Ehemannes verletze ihren Anspruch auf rechtliches Gehör. Soweit die Beschwerdeführerin zur Begründung ihres Antrags auf ihre vorinstanzlichen Eingaben verweist, genügt die Beschwerde den Begründungsanforderungen nicht (vgl. BGE 133 II 396 E. 3.1 S. 399 f.). Schliesslich legt sie nicht dar, inwiefern die beantragte Befragung zu neuen sachdienlichen Feststellungen führen soll. Die Beschwerde erweist sich insofern als unbegründet.</w:t>
      </w:r>
    </w:p>
    <w:p>
      <w:r>
        <w:rPr>
          <w:b/>
        </w:rPr>
        <w:t>E. 3.1</w:t>
      </w:r>
    </w:p>
    <w:p>
      <w:r>
        <w:t>Die Beschwerdeführerin macht geltend, die Ehe mit dem Schweizer Bürger sei im Zeitpunkt der Gesuchseinreichung und der Einbürgerung stabil gewesen.</w:t>
      </w:r>
    </w:p>
    <w:p>
      <w:r>
        <w:rPr>
          <w:b/>
        </w:rPr>
        <w:t>E. 3.2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Die Einbürgerung kann vom Bundesamt mit Zustimmung der Behörde des Heimatkantons innert fünf Jahren nichtig erklärt werden, wenn sie durch falsche Angaben oder Verheimlichung erheblicher Tatsachen erschlichen worden ist ( Art. 41 Abs. 1 BüG in der bis zum 28. Februar 2011 geltenden Fassung; vgl. AS 2011 347 und Art. 57 BüG ).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 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3.3.1</w:t>
      </w:r>
    </w:p>
    <w:p>
      <w:r>
        <w:t>Die Beschwerdeführerin hat kurze Zeit nach Erfüllung der Voraussetzungen ein Einbürgerungsgesuch gestellt. Am 4. Februar 2004 unterzeichneten die Ehegatten die gemeinsame Erklärung, in stabiler Ehe zu leben, worauf die Beschwerdeführerin am 3. Mai 2004 erleichtert eingebürgert wurde. Im Oktober 2004 ist sie aus der ehelichen Wohnung ausgezogen. Am 19. Oktober 2004 hat sie eine Vollmacht zuhanden eines Anwalts unterzeichnet, welcher ihr bei der Scheidung helfen sollte. Am 2. Dezember 2004 unterzeichneten die Ehegatten das gemeinsame Scheidungsbegehren. Am 4. Mai 2005 erging das Scheidungsurteil. Im Dezember 2006 heiratete die Beschwerdeführe-rin einen deutschen Staatsangehörigen. Die Vorinstanz erwog, der Ablauf dieser Ereignisse begründe die tatsächliche Vermutung, die Beschwerdeführerin habe zur Zeit der gemeinsamen Erklärung und Einbürgerung nicht (mehr) in einer stabilen ehelichen Gemeinschaft gelebt (angefochtenes Urteil E. 8.2).</w:t>
      </w:r>
    </w:p>
    <w:p>
      <w:r>
        <w:rPr>
          <w:b/>
        </w:rPr>
        <w:t>E. 3.3.2</w:t>
      </w:r>
    </w:p>
    <w:p>
      <w:r>
        <w:t>Die Beschwerdeführerin macht geltend, die anlässlich des Fernsehkaufs im Oktober 2004 aufgetretenen ehelichen Probleme seien Auslöser für weitere Diskussionen gewesen. Sie habe eine getrennte Verwaltung des ehelichen Einkommens gewünscht, um ihre Familie in Thailand zu unterstützen. Das habe ihr damaliger Ehemann als Verletzung der ehelichen Gemeinschaft empfunden und nicht akzeptieren können. Ihm sei erst dann klar geworden, dass sie die finanzielle Unterstützung ihrer Familie über die eheliche Gemeinschaft stelle. Die Überweisung von Fr. 10'000.-- im August 2004 für ein Grundstück in Thailand bezeuge, dass die Ehe noch stabil gewesen sei.</w:t>
      </w:r>
    </w:p>
    <w:p>
      <w:r>
        <w:rPr>
          <w:b/>
        </w:rPr>
        <w:t>E. 3.3.3</w:t>
      </w:r>
    </w:p>
    <w:p>
      <w:r>
        <w:t>Mit der Vorinstanz ist davon auszugehen, dass bereits vor dem Streit anlässlich des Fernsehkaufs ernsthafte Differenzen zwischen den Ehegatten bestanden haben. Namentlich störte den Ehemann, die Familie der Beschwerdeführerin regelmässig finanziell zu unterstützen. Zudem nahm er dem Bruder der Beschwerdeführerin übel, Unterstützungsbeiträge nicht bestimmungsgemäss verwendet zu haben. Dieser soll auch von weiteren Geldüberweisungen mitprofitiert haben, was die Beschwerdeführerin mit Rücksicht auf ihre Familie nicht unterbinden wollte. Der Ehemann hatte den Eindruck, die Familie der Beschwerdeführerin leiste sich aufgrund seiner finanziellen Unterstützung einen höheren Lebensstandard als er. So führte er aus, der Kauf eines Grundstücks in Thailand im Jahre 2004 für die Familie der Beschwerdeführerin habe das Fass zum Überlaufen gebracht. Er habe nicht mehr für andere arbeiten wollen. Unter diesen Umständen bedurfte es lediglich noch eines nichtigen Anlasses (Streit um ein Fernsehgerät), um den Konflikt zwischen den Ehegatten eskalieren zu lassen und einen dauerhaften Bruch der ehelichen Gemeinschaft herbeizuführen. Es überzeugt deshalb nicht, dass eine stabile Lebensgemeinschaft bestanden habe, die allein an einer Meinungsverschiedenheit über ein Fernsehgerät zerbrochen sein soll. Der Ausgang der Auseinandersetzung belegt vielmehr eine vorbestehende Instabilität der ehelichen Gemeinschaft. Dass die Ehegatten überhaupt keine Anstrengungen unternommen haben, um die Ehe zu retten, sondern innert kürzester Zeit nach dem Streit zusammen die Scheidung einleiteten und vollzogen, bestärkt den Eindruck, dass der Ehewille schon einige Zeit vor der Meinungsverschiedenheit um das Fernsehgerät erloschenen war. Daran ändert auch die angeblich vom Ehemann veranlasste Überweisung von Fr. 10'000.-- im August 2004 zum Kauf eines Grundstücks in Thailand nichts. Gemäss dem von der Beschwerdeführerin im vorinstanzlichen Verfahren eingereichten Beleg soll ihr Ehemann den Kaufpreis des Grundstücks von ca. Fr. 20'000.-- in zwei Teilen, im Januar 2004 und im August 2004, überwiesen haben. Wenn der Ehemann aber bereits im Januar 2004 einen Teil des Kaufpreises überwiesen haben soll, ist das Vorbringen der Beschwerdeführerin nicht nachvollziehbar, wonach ihr (erst) im Sommer 2004 ein Grundstück angeboten worden sei (Beschwerdeergänzung vom 24. Januar 2011 S. 3) und sie sich alsdann mit ihrem Ehemann für einen Kauf entschieden habe. Im Übrigen widerspricht sie damit der Darstellung ihres früheren Ehemannes. Er erklärte, sie habe in Thailand ca. Fr. 20'000.-- für ein Grundstück zugunsten ihrer Familie ausgegeben. Es ist auch angesichts dieser Ungereimtheiten mit der Vorinstanz davon auszugehen, dass die Ehe zur Zeit der Erklärung und Einbürgerung im Frühjahr 2004 nicht mehr intakt war, und der Streit um das Fernsehgerät nicht die Ursache für das Zerwürfnis war, sondern nur Ausdruck der Meinungsverschiedenheiten und der Anlass zum definitiven Auseinandergehen.</w:t>
      </w:r>
    </w:p>
    <w:p>
      <w:r>
        <w:rPr>
          <w:b/>
        </w:rPr>
        <w:t>E. 3.3.4</w:t>
      </w:r>
    </w:p>
    <w:p>
      <w:r>
        <w:t>Ob sich die Beschwerdeführerin der Instabilität ihrer Ehe bewusst war, ist eine Frage der Beweiswürdigung. Die Vorinstanz hat dies bejaht. Wie erwähnt, ist das Bundesgericht an die Feststellungen des Sachverhalts im vorinstanzlichen Urteil gebunden (vgl. oben E. 2.2). Soweit sie vor Bundesgericht bestritten werden, werden an die Begründungspflicht der Beschwerde strenge Anforderungen gestellt ( BGE 133 II 249 E. 1.4.3 S. 254 f.). Die Beschwerdeführerin beschränkt sich vor Bundesgericht weitgehend darauf, den Sachverhalt zu bestreiten und ihre Sachdarstellung anzuführen, ohne aber darzulegen, inwiefern die Feststellungen der Vorinstanz zu diesem Punkt offensichtlich unrichtig oder unter Verletzung einer verfahrensrechtlichen Vorschrift zustande gekommen sein sollen. Die Beschwerdeschrift genügt deshalb den Anforderungen an die Begründungspflicht nicht. Im Übrigen reicht es für die Annahme der willkürlichen Beweiswürdigung nicht aus, dass eine andere Lösung ebenfalls in Betracht zu ziehen oder vorzuziehen wäre ( BGE 131 I 217 E. 2.1 S. 219). Auf die Beschwerde ist insoweit nicht einzutreten.</w:t>
      </w:r>
    </w:p>
    <w:p>
      <w:r>
        <w:rPr>
          <w:b/>
        </w:rPr>
        <w:t>E. 4</w:t>
      </w:r>
    </w:p>
    <w:p>
      <w:r>
        <w:t>Die Beschwerde ist abzuweisen, soweit darauf eingetreten werden kann.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