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1C_15/2010 vom 16. Juni 2010</w:t>
      </w:r>
    </w:p>
    <w:p>
      <w:r>
        <w:t>Bundesgericht, 2010-06-16, DE</w:t>
      </w:r>
    </w:p>
    <w:p>
      <w:r>
        <w:rPr>
          <w:b/>
        </w:rPr>
        <w:t xml:space="preserve">Quelle: </w:t>
      </w:r>
      <w:r>
        <w:t>https://mcp.opencaselaw.ch/entscheid/bger_1C_15_2010</w:t>
      </w:r>
    </w:p>
    <w:p>
      <w:r>
        <w:t>FR: TF 1C_15/2010 du 16 juin 2010</w:t>
      </w:r>
    </w:p>
    <w:p>
      <w:r>
        <w:t>IT: TF 1C_15/2010 del 16 giugno 2010</w:t>
      </w:r>
    </w:p>
    <w:p>
      <w:pPr>
        <w:pStyle w:val="Heading2"/>
      </w:pPr>
      <w:r>
        <w:t>Erwägungen</w:t>
      </w:r>
    </w:p>
    <w:p>
      <w:r>
        <w:rPr>
          <w:b/>
        </w:rPr>
        <w:t>E. 1</w:t>
      </w:r>
    </w:p>
    <w:p>
      <w:r>
        <w:t>Das Bundesgericht prüft die Zulässigkeit der Beschwerde von Amtes wegen und mit freier Kognition ( Art. 29 Abs. 1 BGG ).</w:t>
      </w:r>
    </w:p>
    <w:p>
      <w:r>
        <w:rPr>
          <w:b/>
        </w:rPr>
        <w:t>E. 1.1</w:t>
      </w:r>
    </w:p>
    <w:p>
      <w:r>
        <w:t>Angefochten ist der kantonal letztinstanzliche Entscheid des Verwaltungsgerichts über die Zulässigkeit der umstrittenen Enteignung. Das Enteignungsbegehren ist gestützt auf öffentliches Recht zu beurteilen. Die Streitigkeit kann mit Beschwerde in öffentlich-rechtlichen Angelegenheiten an das Bundesgericht weitergezogen werden (Art. 82 lit. a i.V.m. Art. 86 BGG ). Es ist keiner der gesetzlichen Ausschlussgründe gegeben ( Art. 83 BGG ).</w:t>
      </w:r>
    </w:p>
    <w:p>
      <w:r>
        <w:rPr>
          <w:b/>
        </w:rPr>
        <w:t>E. 1.2</w:t>
      </w:r>
    </w:p>
    <w:p>
      <w:r>
        <w:t>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w:t>
      </w:r>
    </w:p>
    <w:p>
      <w:r>
        <w:rPr>
          <w:b/>
        </w:rPr>
        <w:t>E. 1.2.1</w:t>
      </w:r>
    </w:p>
    <w:p>
      <w:r>
        <w:t>Das Beschwerderecht setzt neben der formellen Beschwer voraus,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c BGG hängen eng zusammen. Insgesamt kann insoweit an die Grundsätze, die zur Legitimationspraxis bei der Verwaltungsgerichtsbeschwerde nach Art. 103 lit. a OG entwickelt worden sind, angeknüpft werden ( BGE 133 II 400 E. 2.2 S. 404 f. mit Hinweisen). Danach wird bei Beschwerden von Drittpersonen (wie z.B. Nachbarn) verlangt, dass sie durch den angefochtenen Akt persönlich und unmittelbar einen Nachteil erleiden. Ein bloss mittelbares oder ausschliesslich allgemeines öffentliches Interesse berechtigt nicht zur Beschwerdeführung ( BGE 131 II 587 E. 3 S. 589 f. mit Hinweis; Urteil des Bundesgerichts 1C_455/2009 vom 15. April 2010 E. 1.2.2).</w:t>
      </w:r>
    </w:p>
    <w:p>
      <w:r>
        <w:rPr>
          <w:b/>
        </w:rPr>
        <w:t>E. 1.2.2</w:t>
      </w:r>
    </w:p>
    <w:p>
      <w:r>
        <w:t>In der vorliegenden Angelegenheit steht nicht die Probebohrung, für welche die Enteignung bewilligt wurde, zur Diskussion, sondern lediglich die auf rund vier Wochen befristete Übertragung des Nutzungsrechts am Bohrstandort und am Zufahrtsweg. Eine raumplanerische oder waldrechtliche Bewilligung der Probebohrung liegt nicht vor. Die von der Enteignung betroffenen Flächen stehen nicht im Eigentum der Beschwerdeführerin, sondern gehören der Gemeinde Effingen. Inwiefern das mittels Enteignung eingeräumte Nutzungsrecht an den beanspruchten Parellen Nrn. 151 und 711 die tatsächliche oder rechtliche Situation der Nachbarin unmittelbar beeinflussen könnte, ist nicht ersichtlich. Diese begründet ihr Beschwerderecht namentlich mit den negativen Folgen, welche die Bohrung und der spätere Materialabbau aus ihrer Sicht nach sich ziehen würden. Die befürchteten Nachteile ergeben sich jedoch nicht unmittelbar aus der Enteignung oder Einräumung der hier umstrittenen Nutzungsrechte. Insoweit ist die Situation der Beschwerdeführerin vergleichbar mit derjenigen von Nachbarn einer geplanten Wohnüberbauung, welche sich gegen die Einräumung von Baurechten als Grundlage für die Realisierung der Überbauung wehren wollen, obwohl sie durch die Baurechte nicht unmittelbar in schutzwürdigen Interessen betroffen sind (Urteil des Bundesgerichts 1C_455/2009 vom 15. April 2010 E. 1.2.3).</w:t>
      </w:r>
    </w:p>
    <w:p>
      <w:r>
        <w:t>Auch in der vorliegenden Angelegenheit erleidet die Beschwerdeführerin keinen persönlichen und unmittelbaren Nachteil, auf den sie ihre Beschwerdeberechtigung im Enteignungsverfahren abstützen könnte. Erst die Bewilligungsverfahren für die Durchführung der Probebohrungen ( Art. 24 ff. RPG [SR 700] und Art. 4 f. WaG [SR 921.0]) erscheinen geeignet, die tatsächliche oder rechtliche Situation der Nachbarn unmittelbar zu beeinflussen. In diesen Verfahren kann die Beschwerdeführerin ihre Parteirechte wahrnehmen (vgl. Art. 111 Abs. 1 BGG ; Art. 33 Abs. 3 lit. a RPG ). Die genannten weiteren Bewilligungen bildeten nicht Gegenstand des verwaltungsgerichtlichen Verfahrens. Im Entscheid des Regierungsrats vom 14. Januar 2009 wird im Zusammenhang mit der Gewährung einer Ausnahme vom Waldfahrverbot im Sinne von Art. 15 Abs. 2 WaG (SR 921.0) erwähnt, der auf vier Wochen beschränkte Einsatz der mobilen Bohranlage unterliege nach dem kantonalen Recht keiner Baubewilligungspflicht. Der Regierungsrat geht davon aus, dass für die geplante Probebohrung lediglich eine gewässerschutzrechtliche Bohrbewilligung im Sinne von Art. 44 des Bundesgesetzes vom 24. Januar 1991 über den Schutz der Gewässer (Gewässerschutzgesetz, GSchG, SR 814.2) erforderlich sei, jedoch keine Baubewilligung nach den Art. 22 RPG , 24 RPG bzw. § 59 BauG. Wie es sich damit im Einzelnen verhält, musste das Verwaltungsgericht nicht prüfen. Die Baubewilligungspflicht sowie eine Bewilligung für die vorübergehende Zweckentfremdung von Waldboden (Art. 4 f. WaG) für die Bohrung war nicht Gegenstand des Enteignungsgesuchs, das dem kantonalen Rechtsmittelverfahren zugrunde lag. Soweit die Fragen der baurechtlichen und der waldrechtlichen Bewilligung im Hinblick auf die Ausführung der Bohrung noch der Klärung bedürfen, werden die notwendigen Verfahren durchzuführen sein (vgl. BGE 120 Ib 379 E. 3 S. 383 ff.). Dabei muss in Anwendung von Art. 111 Abs. 1 BGG auch betroffenen Nachbarn ( Art. 89 Abs. 1 BGG ) die Wahrung ihrer Parteirechte ermöglicht werden.</w:t>
      </w:r>
    </w:p>
    <w:p>
      <w:r>
        <w:rPr>
          <w:b/>
        </w:rPr>
        <w:t>E. 1.2.3</w:t>
      </w:r>
    </w:p>
    <w:p>
      <w:r>
        <w:t>Es ergibt sich, dass die Legitimation der Beschwerdeführerin im vorliegenden enteignungsrechtlichen Verfahren zu verneinen ist. Auf die Beschwerde kann somit nicht eingetreten werden.</w:t>
      </w:r>
    </w:p>
    <w:p>
      <w:r>
        <w:rPr>
          <w:b/>
        </w:rPr>
        <w:t>E. 2</w:t>
      </w:r>
    </w:p>
    <w:p>
      <w:r>
        <w:t>Dem Ausgang des bundesgerichtlichen Verfahrens entsprechend sind die Gerichtskosten der Beschwerdeführerin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