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1C_159/2024 vom 11. Juli 2025</w:t>
      </w:r>
    </w:p>
    <w:p>
      <w:r>
        <w:t>Bundesgericht, 2025-07-11, FR</w:t>
      </w:r>
    </w:p>
    <w:p>
      <w:r>
        <w:rPr>
          <w:b/>
        </w:rPr>
        <w:t xml:space="preserve">Quelle: </w:t>
      </w:r>
      <w:r>
        <w:t>https://mcp.opencaselaw.ch/entscheid/bger_1C_159_2024</w:t>
      </w:r>
    </w:p>
    <w:p>
      <w:r>
        <w:t>FR: TF 1C_159/2024 du 11 juillet 2025</w:t>
      </w:r>
    </w:p>
    <w:p>
      <w:r>
        <w:t>IT: TF 1C_159/2024 del 11 luglio 2025</w:t>
      </w:r>
    </w:p>
    <w:p>
      <w:pPr>
        <w:pStyle w:val="Heading2"/>
      </w:pPr>
      <w:r>
        <w:t>Erwägungen</w:t>
      </w:r>
    </w:p>
    <w:p>
      <w:r>
        <w:rPr>
          <w:b/>
        </w:rPr>
        <w:t>E. 1</w:t>
      </w:r>
    </w:p>
    <w:p>
      <w:r>
        <w:t>Dirigé contre une décision finale rendue dans le domaine de l'aménagement du territoire, le recours est en principe recevable comme recours en matière de droit public au sens des art. 82 ss LTF , aucune des exceptions de l' art. 83 LTF n'étant réalisée. Les recourants, qui ont participé à l'instance précédente, sont propriétaires de trois parcelles dont l'arrêt attaqué confirme le classement hors zone à bâtir. Ils bénéficient donc en principe de la qualité pour agir au sens de l' art. 89 al. 1 LTF , sous réserve toutefois de la question de l'intérêt pratique à l'examen de leurs griefs (cf. consid. 3.1 ci-dessous).</w:t>
      </w:r>
    </w:p>
    <w:p>
      <w:r>
        <w:t>Les autres conditions de recevabilité étant réunies, il convient d'entrer en matière.</w:t>
      </w:r>
    </w:p>
    <w:p>
      <w:r>
        <w:t>Les recourants demandent la jonction de la présente cause avec d'éventuelles autres procédures portant sur la décision de la DIME du 19 janvier 2022. Les recourants font valoir le risque de décisions contradictoires et la nécessité de procéder à une instruction unique, ce qui permettrait de réduire les frais. Dès lors que les parties recourantes ne sont pas les mêmes, qu'elles ont elles-mêmes renoncé à agir ensemble à tous les stades des procédures cantonales et fédérale et que les situations des parcelles concernées peuvent imposer un examen distinct, une jonction ne se justifie pas. Le risque de décisions contradictoires peut au demeurant être prévenu par une coordination des procédures.</w:t>
      </w:r>
    </w:p>
    <w:p>
      <w:r>
        <w:rPr>
          <w:b/>
        </w:rPr>
        <w:t>E. 2</w:t>
      </w:r>
    </w:p>
    <w:p>
      <w:r>
        <w:t>Les recourants présentent un rappel de l'état des lieux de la planification communale. Ils rappellent que dans un arrêt du 8 février 2012, le Tribunal cantonal fribourgeois a constaté que le PAL de 1980 n'était pas fondé sur la LAT et était nul, de sorte que la zone à bâtir provisoire devait être définie selon les critères de l' art. 36 al. 3 LAT , avec les conséquences qui en découlent pour les propriétaires ayant acquis des biens-fonds qu'ils croyaient constructibles. Ils reviennent ensuite sur le déroulement de la procédure, dans un exposé où ils ne contestent aucun des faits retenus dans l'arrêt attaqué. Ils exposent enfin la motivation de l'arrêt attaqué. Comme cela ressort de la suite du recours (consacré aux "griefs proprement dits") il s'agit là de simples exposés qu'il n'y a pas lieu de traiter en tant que griefs.</w:t>
      </w:r>
    </w:p>
    <w:p>
      <w:r>
        <w:rPr>
          <w:b/>
        </w:rPr>
        <w:t>E. 3</w:t>
      </w:r>
    </w:p>
    <w:p>
      <w:r>
        <w:t>Invoquant les art. 8a, 9 et 36 al. 3 LAT , les recourants relèvent que certains secteurs (ayant fait l'objet des modifications n° s 10, 15 et 19 du projet de PAL) ont été maintenus en zone à bâtir alors qu'ils se situent, aux dires de la cour cantonale elle-même, en dehors du tissu largement bâti, ne bénéficient pas d'un niveau de desserte suffisant et que les réserves constructibles dépassent aussi, dans ces secteurs, le seuil de 0,5 ha fixé par le PDCant. La cour cantonale aurait renoncé à tirer les conséquences de ses constatations, sous prétexte de l'interdiction de la reformatio in peius, alors qu'elle pouvait à tout le moins renvoyer la cause à la DIME sans aller au-delà des conclusions des parties. L'interdiction de la reformatio in peius n'empêchait pas non plus d'annuler l'ensemble de la planification. Les recourants se plaignent enfin d'une violation des principes d'égalité de traitement et d'interdiction de l'arbitraire, en soutenant que les différences de traitement avec les autres modifications du PAL ne seraient pas suffisamment expliquées.</w:t>
      </w:r>
    </w:p>
    <w:p>
      <w:r>
        <w:rPr>
          <w:b/>
        </w:rPr>
        <w:t>E. 3.1</w:t>
      </w:r>
    </w:p>
    <w:p>
      <w:r>
        <w:t>Pour l'essentiel, l'argumentation des recourants consiste à se plaindre du classement en zone à bâtir d'autres parcelles comprises dans les modifications n° s 10, 15 et 19. Dans la mesure où ils se plaignent d'inégalité de traitement afin d'obtenir pour leurs propres biens-fonds un traitement identique, le grief est en soi recevable. En revanche, dans la mesure où les recourants cherchent uniquement à obtenir le déclassement d'autres parcelles, voire l'annulation de l'ensemble de la planification, ils ne disposent pas d'un intérêt suffisant pour ce faire. En effet, l' art. 89 al. 1 LTF exige que le recourant dispose d'un intérêt pratique à l'admission de ses griefs, de sorte qu'il n'est pas admissible d'invoquer des motifs qui visent uniquement la sauvegarde d'un intérêt général à ce que le droit soit correctement appliqué, sans que le recourant puisse en retirer un avantage concret ( ATF 141 II 50 , consid. 2.1; 137 II 30 consid. 2.2.3; 139 II 499 consid. 2.2). Les recourants ne peuvent ainsi critiquer le classement d'autres parcelles que pour autant que celles-ci présentent une relation de concurrence avec les leurs, ce qu'il leur appartient de démontrer (arrêts 1C_195/2024 du 11 avril 2025 consid. 3.3; 1C_682/2020 du 14 janvier 2022 consid. 5.2). En l'espèce, les recourants ne fournissent aucune démonstration de ce genre.</w:t>
      </w:r>
    </w:p>
    <w:p>
      <w:r>
        <w:t>La question peut néanmoins demeurer indécise dès lors que l'argumentation tirée de l'égalité de traitement doit quoi qu'il en soit être écartée.</w:t>
      </w:r>
    </w:p>
    <w:p>
      <w:r>
        <w:rPr>
          <w:b/>
        </w:rPr>
        <w:t>E. 3.2</w:t>
      </w:r>
    </w:p>
    <w:p>
      <w:r>
        <w:t>Selon l' art. 35 al. 1 let. b LAT , les cantons devaient veiller à ce que les plans d'affectation soient établis à temps, mais au plus tard dans un délai de huit ans à compter de l'entrée en vigueur de la LAT, soit jusqu'au 1er janvier 1988. Les plans d'affectation adoptés avant l'entrée en vigueur de la LAT conservaient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Les plans d'affectation qui n'ont pas encore été adaptés aux exigences de la LAT ne bénéficient pas de cette présomption et leur stabilité n'est pas garantie (cf. art. 21 al. 1 LAT ; cf. ATF 127 I 103 consid. 6b/aa; 120 Ia 227 consid. 2c; arrêt 1C_361/2011 du 28 juin 2012 consid. 5.1).</w:t>
      </w:r>
    </w:p>
    <w:p>
      <w:r>
        <w:t>C'est dès lors à juste titre que le Tribunal cantonal a considéré, en se référant à une décision précédente rendue en 2012, que la planification communale n'avait pas été adaptée aux exigences de l' art. 35 LAT dans le délai fixé par cette disposition, de sorte que seules les parties largement bâties du territoire communal (selon l'état de 1988) pouvaient être réputées zone à bâtir ( art. 36 al. 3 LAT ). À la requête de la cour cantonale, le SeCa a produit une carte de l'état des constructions au 1er janvier 1988. Dans le secteur Portalban, le SeCa, suivi en cela par la cour cantonale, a considéré que l'on pouvait distinguer deux secteurs largement bâtis: au nord, l'ancien noyau villageois, en contiguïté avec la partie située au nord du ruisseau et formant un ensemble urbanistique; plus au sud, un second secteur (Portalban-Dessus) correspond à un ancien noyau de 5 ou 6 bâtiments le long de la route de Gletterens. La cour cantonale a considéré que, sur le reste du plateau de Portalban-Dessus, les constructions existantes en 1988 formaient un tissu trop dispersé pour être considéré comme un périmètre largement bâti. L'ensemble du territoire situé entre les deux pôles bâtis comprenait des constructions dispersées. La cour cantonale a ainsi considéré que le secteur concerné par la modification n° 19 ne pouvait être inclus dans le tissu largement bâti d'origine, et qu'il en allait a fortiori de même pour la modification n° 20 comprenant les parcelles des recourants, qui ne comportait que quelques bâtiments. Cette appréciation, conforme au droit fédéral, n'est pas contestée céans par les recourants.</w:t>
      </w:r>
    </w:p>
    <w:p>
      <w:r>
        <w:rPr>
          <w:b/>
        </w:rPr>
        <w:t>E. 3.3</w:t>
      </w:r>
    </w:p>
    <w:p>
      <w:r>
        <w:t>Ceux-ci se plaignent en revanche d'une inégalité de traitement avec les secteurs visés par les modifications n os 10, 15 et 19, qui ne faisaient pas non plus partie du tissu largement bâti en 1988.</w:t>
      </w:r>
    </w:p>
    <w:p>
      <w:r>
        <w:rPr>
          <w:b/>
        </w:rPr>
        <w:t>E. 3.3.1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arrêt 1C_163/2024 du 14 mai 2025 consid. 6.1). Du point de vue constitutionnel, il suffit que la planification soit objectivement soutenable, c'est-à-dire qu'elle ne soit pas arbitraire ( ATF 121 I 245 consid. 6e/bb; arrêt 1C_410/2022 du 4 décembre 2023 consid. 3.1). Dans ce contexte prévalent également les exigences de motivation accrue de l' art. 106 al. 2 LTF (cf. ATF 141 I 36 consid. 1.3).</w:t>
      </w:r>
    </w:p>
    <w:p>
      <w:r>
        <w:rPr>
          <w:b/>
        </w:rPr>
        <w:t>E. 3.3.2</w:t>
      </w:r>
    </w:p>
    <w:p>
      <w:r>
        <w:t>La modification n° 10 concerne un secteur situé à l'extrémité sud de la localité. Les parcelles auxquelles les recourants font référence se situent toutefois dans le prolongement du secteur considéré comme largement bâti, le long de la route de Gletterens, et ont ainsi été rattachée à la zone de centre, de sorte que leur situation diffère clairement de celle des parcelles des recourants.</w:t>
      </w:r>
    </w:p>
    <w:p>
      <w:r>
        <w:t>La modification n° 15 concerne un quartier résidentiel le long de la route du Canada. Ce secteur, déjà construit, est attenant au centre. Pour ce motif déjà, en dépit des arguments (absence de desserte, voisinage de la rive protégée du lac, périmètre archéologique) qui, selon les recourants, s'opposeraient à un classement en zone à bâtir, les situations se distinguent suffisamment pour justifier objectivement un traitement différent.</w:t>
      </w:r>
    </w:p>
    <w:p>
      <w:r>
        <w:t>Enfin, le secteur visé par la modification n° 19 représente la partie construite du vaste quartier situé entre les deux pôles compacts mentionnés ci-dessus. A l'instar des parcelles des recourants, ce quartier ne faisait pas partie du tissu largement bâti en 1988, mais son classement en zone à faible densité tient, selon la cour cantonale, au fait qu'il constitue un tissu cohérent et déjà construit. Les trois parcelles des recourants se trouvent quant à elles dans la frange ouest de ce secteur. Il n'est pas critiquable, dans la perspective d'une réduction de la zone à bâtir largement surdimensionnée, de maintenir en zone non constructible l'ensemble des parcelles situées, comme celles des recourants, à l'extérieur de ce secteur. Les distinctions opérées dans le nouveau PAL ne sauraient, dans ces circonstances, être qualifiées d'insoutenables. Le grief doit par conséquent être rejeté.</w:t>
      </w:r>
    </w:p>
    <w:p>
      <w:r>
        <w:rPr>
          <w:b/>
        </w:rPr>
        <w:t>E. 3.3.3</w:t>
      </w:r>
    </w:p>
    <w:p>
      <w:r>
        <w:t>Dans la mesure où la cour cantonale a confirmé à juste titre l'affectation des parcelles des recourants et n'avait pas de motif de modifier l'affectation d'autres secteurs, l'argument relatif à la reformatio in peius - et à l'objet de la contestation - n'a pas à être examiné.</w:t>
      </w:r>
    </w:p>
    <w:p>
      <w:r>
        <w:rPr>
          <w:b/>
        </w:rPr>
        <w:t>E. 4</w:t>
      </w:r>
    </w:p>
    <w:p>
      <w:r>
        <w:t>Le recours en matière de droit public doit par conséquent être rejeté dans la mesure où il est recevable, aux frais des recourants qui succombent ( art. 66 al. 1 LTF ). Il n'y a pas lieu d'allouer des dépens à la commune intimée, qui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