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1C_159/2019 vom 31. Dezember 2019</w:t>
      </w:r>
    </w:p>
    <w:p>
      <w:r>
        <w:t>Bundesgericht, 2019-12-31, FR</w:t>
      </w:r>
    </w:p>
    <w:p>
      <w:r>
        <w:rPr>
          <w:b/>
        </w:rPr>
        <w:t xml:space="preserve">Quelle: </w:t>
      </w:r>
      <w:r>
        <w:t>https://mcp.opencaselaw.ch/entscheid/bger_1C_159_2019</w:t>
      </w:r>
    </w:p>
    <w:p>
      <w:r>
        <w:t>FR: TF 1C_159/2019 du 31 décembre 2019</w:t>
      </w:r>
    </w:p>
    <w:p>
      <w:r>
        <w:t>IT: TF 1C_159/2019 del 31 dicembre 2019</w:t>
      </w:r>
    </w:p>
    <w:p>
      <w:pPr>
        <w:pStyle w:val="Heading2"/>
      </w:pPr>
      <w:r>
        <w:t>Erwägungen</w:t>
      </w:r>
    </w:p>
    <w:p>
      <w:r>
        <w:rPr>
          <w:b/>
        </w:rPr>
        <w:t>E. 1</w:t>
      </w:r>
    </w:p>
    <w:p>
      <w:r>
        <w:t>Le Tribunal fédéral examine d'office la recevabilité des recours qui lui sont soumis ( art. 29 al. 1 LTF ).</w:t>
      </w:r>
    </w:p>
    <w:p>
      <w:r>
        <w:rPr>
          <w:b/>
        </w:rPr>
        <w:t>E. 1.1</w:t>
      </w:r>
    </w:p>
    <w:p>
      <w:r>
        <w:t>Selon l' art. 82 let . c LTF, le Tribunal fédéral connaît des recours qui concernent le droit de vote des citoyens ainsi que les élections et votations populaires.</w:t>
      </w:r>
    </w:p>
    <w:p>
      <w:r>
        <w:t>Selon l' art. 89 al. 3 LTF , en matière de droits politiques, quiconque a le droit de vote dans l'affaire en cause a qualité pour recourir. La qualité pour recourir au sens de l' art. 89 al. 1 et 3 LTF suppose encore que la partie recourante ait un intérêt actuel digne de protection à l'annulation ou à la modification de la décision entreprise. Cet intérêt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 ATF 142 I 135 consid. 1.3.1 p. 143 et la jurisprudence citée).</w:t>
      </w:r>
    </w:p>
    <w:p>
      <w:r>
        <w:t>Si l'intérêt actuel disparaît en cours de procédure, le recours devient sans objet, alors qu'il est irrecevable si l'intérêt actuel faisait déjà défaut au moment du dépôt du recours ( ATF 142 I 135 consid. 1.3.1 p. 143 et la jurisprudence citée). 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w:t>
      </w:r>
    </w:p>
    <w:p>
      <w:r>
        <w:t>Cela étant, la radiation du rôle des procédures devenues sans objet ( art. 32 al. 2 LTF ) vise les cas dans lesquels la disparition de l'intérêt au recours est relativement claire, de sorte qu'il ne reste guère matière à décision (cf. Message du 28 février 2001 concernant la révision totale de l'organisation judiciaire fédérale, FF 2001 4000 p. 4089). Il faut en revanche réserver les situations dans lesquelles un examen formel de la recevabilité du recours et un jugement sur ce point en procédure ordinaire ou simplifiée se justifient, compte tenu de l'opposition des parties recourantes à une simple radiation du rôle et de l'intérêt dont elles prétendent encore pouvoir se prévaloir. Ces dernières peuvent ainsi obtenir un jugement formel sur la recevabilité de leurs conclusions si elles prétendent disposer d'un intérêt digne de protection mais que celui-ci prête à discussion (arrêt 1C_469/2014 du 24 avril 2015 consid. 1.1).</w:t>
      </w:r>
    </w:p>
    <w:p>
      <w:r>
        <w:t>Tel est le cas en l'espèce vu la position exprimée par le recourant dans ses observations du 1</w:t>
      </w:r>
    </w:p>
    <w:p>
      <w:r>
        <w:t>er décembre 2019.</w:t>
      </w:r>
    </w:p>
    <w:p>
      <w:r>
        <w:rPr>
          <w:b/>
        </w:rPr>
        <w:t>E. 1.2</w:t>
      </w:r>
    </w:p>
    <w:p>
      <w:r>
        <w:t>En l'occurrence, pendant la procédure de recours devant Tribunal fédéral, le bâtiment abritant la salle de cinéma "Le Plaza" a été racheté par la fondation Wilsdorf, qui entend la maintenir en tant que salle de cinéma et en faire un lieu culturel central et polyvalent. Le recourant ne peut donc plus se prévaloir d'un intérêt actuel et pratique à obtenir l'annulation de l'arrêt attaqué puisque l'IN 166 a perdu son objet. Le recourant ne soutient d'ailleurs pas que l'admission éventuelle du présent recours pourrait conduire à la validation de l'initiative litigieuse. Il n'a donc aucun intérêt juridique actuel à obtenir l'annulation de l'arrêt attaqué; l'admission de son recours ne lui procurerait aucun avantage de droit matériel.</w:t>
      </w:r>
    </w:p>
    <w:p>
      <w:r>
        <w:t>Le recourant admet au demeurant que le rachat du bâtimentenlève à l'IN 166 son aspect de réponse spécifique à la menace de la destruction de la salle. Il prétend cependant que l'aspect central de son recours est d'affirmer le droit d'un comité d'initiative populaire de proposer une déclaration d'utilité publique et le droit du peuple de se prononcer sur cette proposition, face à la volonté du Conseil d'Etat de se réserver le droit exclusif de proposer au parlement une telle déclaration.</w:t>
      </w:r>
    </w:p>
    <w:p>
      <w:r>
        <w:t>Rien ne permet toutefois d'admettre qu'une initiative présentera les mêmes points de discussion que l'IN 166 et que la contestation puisse ainsi se reproduire un jour dans les mêmes conditions, ni que le Tribunal fédéral ne pourra pas statuer en temps utile. La contestation se réduit à un simple cas d'espèce où il s'agit d'examiner la conformité au droit supérieur cantonal d'une initiative populaire législative. Il n'y a donc pas lieu de déroger à l'exigence d'un intérêt actuel et pratique au recours.</w:t>
      </w:r>
    </w:p>
    <w:p>
      <w:r>
        <w:rPr>
          <w:b/>
        </w:rPr>
        <w:t>E. 2</w:t>
      </w:r>
    </w:p>
    <w:p>
      <w:r>
        <w:t>Le recours est par conséquent devenu sans objet et la cause doit être radiée du rôle.</w:t>
      </w:r>
    </w:p>
    <w:p>
      <w:r>
        <w:rPr>
          <w:b/>
        </w:rPr>
        <w:t>E. 2.1</w:t>
      </w:r>
    </w:p>
    <w:p>
      <w:r>
        <w:t>Dans un tel cas, 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arrêt 2C_45/2009 du 26 mai 2009 consid. 3.1).</w:t>
      </w:r>
    </w:p>
    <w:p>
      <w:r>
        <w:rPr>
          <w:b/>
        </w:rPr>
        <w:t>E. 2.2</w:t>
      </w:r>
    </w:p>
    <w:p>
      <w:r>
        <w:t>En l'espèce, la Cour de justice a confirmé la nullité de l'initiative litigieuse pour non-conformité au droit supérieur cantonal. Elle a relevé que l'IN 166 contenait trois demandes, à savoir, la déclaration d'utilité publique (au sens de l'art. 3 al. 1 let. a de la loi genevoise sur l'expropriation pour cause d'utilité publique du 10 juin 1933 [LEx/GE; RS/GE L 7 05]), le prononcé par le Conseil d'Etat de l'expropriation des parcelles concernées, et, dès lors que cette expropriation devait se faire au bénéfice de la Ville, le transfert de propriété des immeubles expropriés. Elle a jugé notamment que le prononcé de l'expropriation pour cause d'utilité publique relevait de la compétence du Conseil d'Etat (en vertu de l' art. 4 LEx /GE), lequel ne pouvait être forcé à prendre une telle décision par le biais d'une initiative législative, en vertu de la séparation des pouvoirs.</w:t>
      </w:r>
    </w:p>
    <w:p>
      <w:r>
        <w:t>La Cour de justice a encore considéré qu'une invalidation partielle n'était pas possible, dans la mesure où l'IN 166 n'aurait plus de sens si l'on supprimait ce qui a trait au transfert de propriété et au prononcé de l'expropriation; à cet égard, l'affirmation du Comité d'initiative selon laquelle l'IN 166 pourrait être réalisée par la seule déclaration d'utilité publique, ne résistait pas à l'examen dès lors que cette seule déclaration ne permettrait aucunement de conserver la destination de la salle ni d'empêcher son réaménagement: la déclaration d'utilité publique ne pouvait se concevoir sans le prononcé de l'expropriation et le transfert de propriété, puisqu'elle ne pourrait alors pas être exécutée.</w:t>
      </w:r>
    </w:p>
    <w:p>
      <w:r>
        <w:t>Au terme d'un examen sommaire de la cause, il apparaît que le recourant ne parvient pas à renverser l'argumentation de la Cour de justice. Il ressort en effet de l' art. 4 LEx /GE que lorsque l'utilité publique a été constatée, le droit d'expropriation est exercé par l'Etat ou par la commune intéressée, de sorte que le prononcé d'une expropriation par le biais d'une initiative populaire législative viole la répartition des compétences entre législatif et exécutif selon le droit cantonal. Il semble en outre difficile de dissocier la déclaration d'utilité publique de l'expropriation, ce qui est contraire au texte même de l'IN 166.</w:t>
      </w:r>
    </w:p>
    <w:p>
      <w:r>
        <w:rPr>
          <w:b/>
        </w:rPr>
        <w:t>E. 2.3</w:t>
      </w:r>
    </w:p>
    <w:p>
      <w:r>
        <w:t>Cela étant, il convient de mettre les frais de la procédure à la charge du recourant ( art. 66 al. 1 LTF ). Vu les circonstances et la nature du litige, des frais judiciaires réduits seront cependant perçus (art. 66 al. 1, 2</w:t>
      </w:r>
    </w:p>
    <w:p>
      <w:r>
        <w:t>ème phrase, LTF). Le recourant versera en outre une indemnité de dépens à l'intimée,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