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1C_158/2015 vom 3. Mai 2016</w:t>
      </w:r>
    </w:p>
    <w:p>
      <w:r>
        <w:t>Bundesgericht, 2016-05-03, FR</w:t>
      </w:r>
    </w:p>
    <w:p>
      <w:r>
        <w:rPr>
          <w:b/>
        </w:rPr>
        <w:t xml:space="preserve">Quelle: </w:t>
      </w:r>
      <w:r>
        <w:t>https://mcp.opencaselaw.ch/entscheid/bger_1C_158_2015</w:t>
      </w:r>
    </w:p>
    <w:p>
      <w:r>
        <w:t>FR: TF 1C_158/2015 du 3 mai 2016</w:t>
      </w:r>
    </w:p>
    <w:p>
      <w:r>
        <w:t>IT: TF 1C_158/2015 del 3 maggio 2016</w:t>
      </w:r>
    </w:p>
    <w:p>
      <w:pPr>
        <w:pStyle w:val="Heading2"/>
      </w:pPr>
      <w:r>
        <w:t>Erwägungen</w:t>
      </w:r>
    </w:p>
    <w:p>
      <w:r>
        <w:rPr>
          <w:b/>
        </w:rPr>
        <w:t>E. 1</w:t>
      </w:r>
    </w:p>
    <w:p>
      <w:r>
        <w:t>Le recours est dirigé contre une décision finale de dernière instance cantonale rendue en droit public des constructions. Il est recevable au regard des art. 82 let. a et 86 al. 1 let . d LTF, et a été formé dans le délai fixé à l' art. 100 al. 1 LTF . Tant les voisins directs du projet litigieux ( ATF 140 II 214 consid. 2.3 p. 219; 136 II 281 consid. 2.3.1 p. 285) qu'Helvetia Nostra ( ATF 139 II 271 ) ont qualité pour agir au sens de l' art. 89 al. 1 LTF .</w:t>
      </w:r>
    </w:p>
    <w:p>
      <w:r>
        <w:t>Les recourants demandent la jonction de la présente cause avec deux autres procédures pendantes devant le Tribunal fédéral concernant également des projets de constructions dans le même secteur. Ils estiment que seule une vue d'ensemble des permis accordés permettrait de juger de l'existence d'un abus de droit. Dans la mesure où la délivrance d'autres permis de construire a été alléguée et non contestée devant les instances précédentes, il s'agit d'un fait établi dont le Tribunal fédéral peut tenir compte. Une jonction formelle des causes ne s'impose dès lors pas.</w:t>
      </w:r>
    </w:p>
    <w:p>
      <w:r>
        <w:rPr>
          <w:b/>
        </w:rPr>
        <w:t>E. 2</w:t>
      </w:r>
    </w:p>
    <w:p>
      <w:r>
        <w:t>Les recourants relèvent que l'autorisation de construire portait à l'origine sur une résidence secondaire. Ce n'est qu'après les arrêts du Tribunal fédéral du 22 mai 2013, déclarant l' art. 75b Cst. d'application immédiate, que les avenants contestés auraient été délivrés par la commune, pour 45 logements. La délivrance simultanée d'un aussi grand nombre d'autorisations dans une station à vocation touristique où la demande de résidences principales est insuffisante, constituerait un indice d'abus de droit manifeste. Il y aurait lieu à tout le moins de démontrer le besoin en résidences principales en établissant le taux de vacance pour de tels logements et en exigeant la production de promesses de vente pour les constructions litigieuses. Les recourants estiment que les constructeurs concernés pourraient d'emblée aisément se prévaloir de l' art. 14 LRS qui permet, faute de preneurs, de suspendre l'obligation d'affectation en résidence principale.</w:t>
      </w:r>
    </w:p>
    <w:p>
      <w:r>
        <w:rPr>
          <w:b/>
        </w:rPr>
        <w:t>E. 2.1</w:t>
      </w:r>
    </w:p>
    <w:p>
      <w:r>
        <w:t>Directement applicable ( ATF 139 II 243 consid. 10.6 p. 257), l' art. 75b Cst. limite les résidences secondaires au maximum de 20 % du parc des logements et de la surface brute au sol habitable de chaque commune ( ATF 139 II 243 consid. 10.5 p. 257; arrêt 1C_916/2013 du 19 février 2015 consid. 3.2). Dans cette mesure, elle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w:t>
      </w:r>
    </w:p>
    <w:p>
      <w:r>
        <w:t>Dans son ancienne teneur, l'art. 4 let. a de l'ordonnance sur les résidences secondaires (ORSec, RS 702.1) prévoyait que, dans les communes qui comptent une proportion de résidences secondaires supérieure à 20 %, des autorisations de construire ne peuvent être accordées que pour la construction de résidences qui seront utilisées comme résidence principale. L'art. 7 al. 1 let. a de la loi fédérale sur les résidences secondaires, (LRS, RS 702, entrée en vigueur le 1er janvier 2016) comporte une réglementation semblable. La nouvelle ORSec, entrée en vigueur à la même date, prévoit à son art. 3 al. 1 que la servitude à mentionner au registre foncier en vertu de la LRS pour les logements soumis à une restriction d'utilisation doit avoir la teneur suivante: "résidence principale ou logement assimilé à une résidence principale au sens de l'art. 7, al. 1, let. a, LRS".</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w:t>
      </w:r>
    </w:p>
    <w:p>
      <w:r>
        <w:rPr>
          <w:b/>
        </w:rPr>
        <w:t>E. 2.3</w:t>
      </w:r>
    </w:p>
    <w:p>
      <w:r>
        <w:t>Développé à l'origine sur la base des concepts propres au droit civil ( art. 2 CC ), puis étendu par la jurisprudence à l'ensemble des domaines du droit,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126 II 377 consid. 3a p. 387).</w:t>
      </w:r>
    </w:p>
    <w:p>
      <w:r>
        <w:t>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131 I 166 consid. 6.1 p. 177 et les arrêts cités). La doctrine confirme elle aussi l'application de ces principes dans le domaine du droit administratif (cf. MOOR/FLÜCKIGER/MARTENET, Droit administratif, vol. 1, 3ème édition, Berne 2012, § 6.4.4 p. 932; HÄFELIN/ MÜLLER/UHLMANN, Allgemeines Verwaltungsrecht, Zurich 2015, p. 162; TSCHANNEN/ZIMMERLI/MÜLLER, Allgemeines Verwaltungsrecht, 4ème édition, Berne 2014, p. 182).</w:t>
      </w:r>
    </w:p>
    <w:p>
      <w:r>
        <w:rPr>
          <w:b/>
        </w:rPr>
        <w:t>E. 2.4</w:t>
      </w:r>
    </w:p>
    <w:p>
      <w:r>
        <w:t>Dans le contexte de l' art. 75b Cst. et de ses dispositions d'application,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Il s'agit donc de fraude à la loi dans le sens classique du terme.</w:t>
      </w:r>
    </w:p>
    <w:p>
      <w:r>
        <w:rPr>
          <w:b/>
        </w:rPr>
        <w:t>E. 2.5</w:t>
      </w:r>
    </w:p>
    <w:p>
      <w:r>
        <w:t>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A l'instar de tous les griefs d'ordre constitutionnel, celui-ci est soumis aux conditions de motivation accrues en vertu de l' art. 106 al. 2 LTF : le recourant doit donc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w:t>
      </w:r>
    </w:p>
    <w:p>
      <w:r>
        <w:rPr>
          <w:b/>
        </w:rPr>
        <w:t>E. 2.6</w:t>
      </w:r>
    </w:p>
    <w:p>
      <w:r>
        <w:t>En l'occurrence, le recours satisfait à ces exigences de motivation. Les recourants insistent sur le fait que ce sont au total 45 logements qui ont été autorisés quasi simultanément dans le même secteur. Selon eux, compte tenu de la taille et de la vocation touristique de la station d'Ovronnaz, l'offre de résidences principales serait ainsi excessive. Les recourants estiment qu'il y aurait lieu d'établir l'existence d'une demande correspondante en établissant le taux de vacance des résidences principales, ou de démontrer qu'il existe une tendance à venir s'installer dans le secteur. Les constructeurs pourraient aussi être invités à produire d'éventuelles promesses de vente avec des acheteurs désireux de s'établir. Les recourants évoquent enfin le risque qu'une application de l' art. 14 LRS soit envisagée d'emblée par les constructeurs. Leurs conclusions, qui tendent au renvoi de la cause pour instruction complémentaire, sont ainsi suffisamment étayées.</w:t>
      </w:r>
    </w:p>
    <w:p>
      <w:r>
        <w:rPr>
          <w:b/>
        </w:rPr>
        <w:t>E. 3</w:t>
      </w:r>
    </w:p>
    <w:p>
      <w:r>
        <w:t>La jurisprudence rendue à propos de l' art. 75b Cst. n'a jamais encore retenu définitivement l'abus de droit. Sans les sept arrêts rendus à ce propos jusqu'à présent, le Tribunal fédéral l'a nié dans une majorité de cas et, dans les autres, a renvoyé le dossier pour instruction complémentaire (voir le résumé de jurisprudence dans les arrêts connexes 1C_159/2015 et 1C_160/2015 rendus ce jour, consid. 3). Tout en étant tenu par les griefs soulevés dans le recours qui lui est soumis,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 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w:t>
      </w:r>
    </w:p>
    <w:p>
      <w:r>
        <w:rPr>
          <w:b/>
        </w:rPr>
        <w:t>E. 3.1</w:t>
      </w:r>
    </w:p>
    <w:p>
      <w:r>
        <w:t>En l'espèce, le permis et l'avenant contestés concernent la construction d'un chalet comprenant un seul logement de quelque 150 m². La parcelle est située à Préplan, à 200 m environ de la route cantonale, soit à 9 km de la plaine du Rhône, correspondant à un trajet en voiture de 20 minutes. Le logement se prête ainsi à une utilisation en tant que résidence principale. L'intimée affirme avoir toujours eu l'intention d'utiliser la construction comme résidence principale, la mention contraire figurant dans le permis de construire résultant d'une erreur.</w:t>
      </w:r>
    </w:p>
    <w:p>
      <w:r>
        <w:rPr>
          <w:b/>
        </w:rPr>
        <w:t>E. 3.2</w:t>
      </w:r>
    </w:p>
    <w:p>
      <w:r>
        <w:t>Lorsque le constructeur d'un unique logement entend l'utiliser lui-même comme résidence principale, la preuve d'une demande correspondante dans la commune ou le secteur en cause n'a en principe pas à être apportée. Le cas n'est ainsi pas comparable avec les deux affaires connexes précitées qui concernent la création de nombreux logements dont les futurs occupants sont encore inconnus. Au demeurant, selon la jurisprudence, le constructeur supporte le risque de ne pouvoir utiliser le logement comme résidence principale (cf. arrêt 1C_114/2015 du 10 juillet 2015 consid. 4.2.2). Dans ces conditions, un abus de droit manifeste ne saurait être retenu.</w:t>
      </w:r>
    </w:p>
    <w:p>
      <w:r>
        <w:rPr>
          <w:b/>
        </w:rPr>
        <w:t>E. 4</w:t>
      </w:r>
    </w:p>
    <w:p>
      <w:r>
        <w:t>Le recours doit par conséquent être rejeté. Conformément aux art. 66 et 68 LTF , les frais judiciaires sont mis à la charge des recourants qui succombent, de même que l'indemnité de dépens allouée à l'intimée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