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1C_158/2011 vom 26. August 2011</w:t>
      </w:r>
    </w:p>
    <w:p>
      <w:r>
        <w:t>Bundesgericht, 2011-08-26, FR</w:t>
      </w:r>
    </w:p>
    <w:p>
      <w:r>
        <w:rPr>
          <w:b/>
        </w:rPr>
        <w:t xml:space="preserve">Quelle: </w:t>
      </w:r>
      <w:r>
        <w:t>https://mcp.opencaselaw.ch/entscheid/bger_1C_158_2011</w:t>
      </w:r>
    </w:p>
    <w:p>
      <w:r>
        <w:t>FR: TF 1C_158/2011 du 26 août 2011</w:t>
      </w:r>
    </w:p>
    <w:p>
      <w:r>
        <w:t>IT: TF 1C_158/2011 del 26 agosto 2011</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p. 4137). Les témoignages écrits des parents du recourant et de l'imam de la mosquée de Lausanne, datés respectivement du 30 mars 2011 et du 26 mars 2011, sont postérieurs au prononcé de l'arrêt attaqué. Il s'agit donc de vrais nova, qui échappent à la cognition du Tribunal fédéral ( ATF 133 IV 342 consid. 2.2 p. 344). Les autres pièces produites ne figuraient pas au dossier du Tribunal administratif fédéral. Elles ne résultent pas non plus de l'arrêt attaqué. Il n'en sera dès lors pas tenu compte.</w:t>
      </w:r>
    </w:p>
    <w:p>
      <w:r>
        <w:rPr>
          <w:b/>
        </w:rPr>
        <w:t>E. 3</w:t>
      </w:r>
    </w:p>
    <w:p>
      <w:r>
        <w:t>Dans un grief d'ordre formel qu'il convient d'examiner en premier lieu, le recourant se plaint d'une violation de son droit d'être entendu, plus précisément de son droit de faire administrer des preuves. Il reproche à l'instance précédente de ne pas avoir donné suite à sa demande d'auditionner différents témoins, dont la mère de son ex-épouse. Il allègue que l'audition desdits témoins était indispensable pour établir l'évolution du couple et de la crise ayant conduit au divorce, le remariage de l'intéressé et les circonstances de cet événement.</w:t>
      </w:r>
    </w:p>
    <w:p>
      <w:r>
        <w:rPr>
          <w:b/>
        </w:rPr>
        <w:t>E. 3.1</w:t>
      </w:r>
    </w:p>
    <w:p>
      <w:r>
        <w:t>Garanti à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w:t>
      </w:r>
    </w:p>
    <w:p>
      <w:r>
        <w:rPr>
          <w:b/>
        </w:rPr>
        <w:t>E. 3.2</w:t>
      </w:r>
    </w:p>
    <w:p>
      <w:r>
        <w:t>En l'occurrence, le Tribunal administratif fédéral a considéré qu'il n'y avait pas lieu de donner suite aux requêtes d'audition de témoins, ceux-ci ayant déjà fourni des témoignages écrits. Il a retenu que l'examen des pièces du dossier laissait apparaître des éléments suffisamment probants pour lui permettre de renoncer à ordonner des compléments de preuve, en se fondant sur le principe de la libre appréciation des preuves. Le recourant a notamment produit les témoignages écrits de son ex-épouse, datés du 6 mars 2008 et du 18 janvier 2009, et ceux de la mère de son ex-épouse, datés du 23 avril 2008 et du 16 juin 2009. Il a ainsi été en mesure de verser au dossier tous les renseignements qu'il entendait fournir par les témoins dont il a requis l'audition. Dans ces conditions, procédant à une appréciation anticipée des preuves, le Tribunal administratif fédéral n'a pas violé le droit d'être entendu du recourant en écartant, sur la base d'une appréciation anticipée des preuves, ces demandes d'audition. Le grief tiré de la violation du droit d'être entendu doit être écarté.</w:t>
      </w:r>
    </w:p>
    <w:p>
      <w:r>
        <w:rPr>
          <w:b/>
        </w:rPr>
        <w:t>E. 4</w:t>
      </w:r>
    </w:p>
    <w:p>
      <w:r>
        <w:t>Le recourant conteste avoir obtenu la naturalisation par des déclarations mensongères. Il reproche au Tribunal administratif fédéral d'avoir apprécié de façon arbitraire les pièces et les témoignages, et d'avoir ainsi rendu une décision arbitraire et contraire au but de la loi fédérale du 29 septembre 1952 sur l'acquisition et la perte de la nationalité suisse (LN; RS 141.0).</w:t>
      </w:r>
    </w:p>
    <w:p>
      <w:r>
        <w:rPr>
          <w:b/>
        </w:rPr>
        <w:t>E. 4.1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4.2</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4.2.1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4.2.2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le Tribunal administratif fédéral a considéré que le laps de temps relativement court entre la déclaration commune et l'octroi de la naturalisation facilitée (juin 2004), le dépôt de la requête commune de divorce (février 2006) et le remariage du recourant avec une citoyenne jordanienne (octobre 2006) fondait la présomption que la naturalisation facilitée avait été obtenue frauduleusement. Le recourant ne conteste aucun de ces éléments, lesquels sont propres à fonder la présomption que sa naturalisation a été obtenue frauduleusement.</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4.4</w:t>
      </w:r>
    </w:p>
    <w:p>
      <w:r>
        <w:t>Selon le recourant, l'instance précédente aurait en particulier tiré du témoignage des parents de l'intéressé des conclusions erronées au sujet du déroulement exact du remariage du recourant.</w:t>
      </w:r>
    </w:p>
    <w:p>
      <w:r>
        <w:t>Le Tribunal administratif fédéral a retenu que le recourant s'était remarié rapidement et que "ce rapide enchaînement constituait un indice sérieux que le second mariage devait forcément avoir été planifié par l'intéressé depuis un certain temps déjà, soit bien avant que ce dernier eût entamé les démarches administratives y relatives. L'affirmation du recourant selon laquelle le remariage était un projet qui s'est élaboré après son divorce en 2006 ne paraît pas crédible. Cette opinion se trouve corroborée par le témoignage écrit des parents du recourant, daté du 18 février 2009, aux termes duquel le «mariage officiel» se tiendrait une année après sa planification".</w:t>
      </w:r>
    </w:p>
    <w:p>
      <w:r>
        <w:t>Il est vrai que la déduction opérée par l'instance précédente selon laquelle le second mariage devait "forcément avoir été planifié par l'intéressé depuis un certain temps déjà" est discutable. A tout le moins, l'interprétation qu'elle fait du témoignage écrit des parents du recourant n'est pas exacte: il doit être retenu que l'enregistrement civil et religieux du mariage a eu lieu en octobre 2006 et la fête d'annonce publique du mariage en juillet 2007. Cette appréciation inexacte des preuves n'est cependant pas déterminante pour l'issue du litige: en effet, la motivation principale de l'arrêt attaqué retient que le déroulement chronologique des événements - la date du remariage retenue et non contestée est le 22 octobre 2006 - fonde la présomption de fait que la communauté conjugale du recourant n'était pas stable au moment de la signature de la déclaration commune: le fait que le remariage du recourant "devait forcément avoir été planifié depuis un certain temps", n'est qu'un argument supplémentaire, dont l'abandon n'entraîne pas l'invalidation de l'argumentation principale.</w:t>
      </w:r>
    </w:p>
    <w:p>
      <w:r>
        <w:t>De même, le fait d'avoir retenu que "le dossier ne permet pas de déceler une quelconque trace d'éventuels efforts entrepris pour sauver l'union conjugale" est critiquable, ce point n'ayant pas été véritablement instruit. Cependant, cet élément est accessoire et tend uniquement à appuyer le fait que le motif essentiel de rupture, à savoir le désaccord des époux sur l'éducation des enfants, existait depuis de nombreuses années et posait déjà problème au moment de la signature de la déclaration commune. Par conséquent, le grief d'appréciation arbitraire des preuves doit être rejeté.</w:t>
      </w:r>
    </w:p>
    <w:p>
      <w:r>
        <w:rPr>
          <w:b/>
        </w:rPr>
        <w:t>E. 4.5</w:t>
      </w:r>
    </w:p>
    <w:p>
      <w:r>
        <w:t>Le recourant met également en évidence le fait que son ex-épouse n'est pas restée indifférente au sort de la procédure d'annulation de la naturalisation facilitée et qu'elle souhaite encore témoigner. Cet élément ne permet toutefois pas d'établir qu'au moment de la signature de la déclaration commune, l'harmonie existait toujours au sein du couple au point d'envisager la continuation de la vie commune. Le fait que les ex-époux ont effectué un voyage au Sri Lanka après la signature de la déclaration commune et le témoignage de B.________ ne suffisent pas non plus à établir que les ex-époux formaient une communauté stable lors de la signature de la déclaration commune.</w:t>
      </w:r>
    </w:p>
    <w:p>
      <w:r>
        <w:t>Le recourant fait aussi valoir, pour la première fois devant le Tribunal de céans, qu'il a effectué des démarches pour permettre à son ex-épouse d'acquérir la nationalité jordanienne. Ces faits nouveaux ne résultent pas de la décision attaquée et sont irrecevables ( art. 99 al. 1 LTF ).</w:t>
      </w:r>
    </w:p>
    <w:p>
      <w:r>
        <w:t>L'intéressé avance enfin que le motif de la désunion, soit le litige sur l'éducation des enfants, n'était pas source de conflit jusqu'en 2005: le jeune âge des époux, les formations professionnelles qu'ils avaient entreprises ainsi que leur situation financière précaire les avaient dans un premier temps convaincus de ne pas concrétiser un projet qui leur tenait à coeur. Ainsi au moment du mariage et jusqu'en 2005, le thème des enfants avait été abordé, mais il était resté abstrait. Il était devenu concret lorsque son ex-épouse avait achevé sa formation continue, soit en juillet 2005. Le témoignage de la mère de son ex-épouse confirme ces allégations. Si le motif de rupture a bien été le désaccord des époux sur l'éducation des enfants, il n'est pas vraisemblable qu'il soit survenu de manière inattendue après neuf ans de mariage. Cet élément n'est pas de nature à expliquer la fin subite de la vie d'un couple marié depuis de nombreuses années, sauf à considérer que leur union n'était pas stable. Ce d'autant moins que le recourant ne précise pas en quoi consistaient les divergences d'ordre culturel et religieux sur l'éducation des enfants. Dans ces circonstances, l'intéressé ne rend pas vraisemblable qu'il n'avait pas conscience de la gravité des problèmes du couple au moment de la signature de la déclaration commune. Par ailleurs, il n'apporte aucun élément propre à démontrer la survenance d'un événement extraordinaire postérieur à la signature de la déclaration commune et susceptible d'expliquer une dégradation aussi rapide du lien conjugal.</w:t>
      </w:r>
    </w:p>
    <w:p>
      <w:r>
        <w:rPr>
          <w:b/>
        </w:rPr>
        <w:t>E. 4.6</w:t>
      </w:r>
    </w:p>
    <w:p>
      <w:r>
        <w:t>En définitive, les éléments avancés par le recourant ne suffisent pas à renverser la présomption établie. Il en découle que les conditions d'application de l' art. 41 LN sont réunies et que le Tribunal administratif fédéral n'a pas versé dans l'arbitraire en confirmant l'annulation de la naturalisation facilitée qui avait été octroyée au recourant.</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