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156/2018 vom 30. April 2018</w:t>
      </w:r>
    </w:p>
    <w:p>
      <w:r>
        <w:t>Bundesgericht, 2018-04-30, DE</w:t>
      </w:r>
    </w:p>
    <w:p>
      <w:r>
        <w:rPr>
          <w:b/>
        </w:rPr>
        <w:t xml:space="preserve">Quelle: </w:t>
      </w:r>
      <w:r>
        <w:t>https://mcp.opencaselaw.ch/entscheid/bger_1C_156_2018</w:t>
      </w:r>
    </w:p>
    <w:p>
      <w:r>
        <w:t>FR: TF 1C 156/2018 du 30 avril 2018</w:t>
      </w:r>
    </w:p>
    <w:p>
      <w:r>
        <w:t>IT: TF 1C 156/2018 del 30 aprile 2018</w:t>
      </w:r>
    </w:p>
    <w:p>
      <w:pPr>
        <w:pStyle w:val="Heading2"/>
      </w:pPr>
      <w:r>
        <w:t>Regeste</w:t>
      </w:r>
    </w:p>
    <w:p>
      <w:r>
        <w:t>Auslieferung an Polen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legt nicht dar, weshalb hier ein besonders bedeutender Fall nach Art. 84 BGG gegeben sein soll. Ob man annehmen kann, dass er das zumindest sinngemäss tut und die Beschwerde damit den Begründungsanforderungen von Art. 42 Abs. 2 BGG genügt, kann dahingestellt bleiben. Ein besonders bedeutender Fall ist jedenfalls zu verneinen. Die Vorinstanz hat zu den Einwänden des Beschwerdeführers einlässlich Stellung genommen (angefochtener Entscheid E. 5 S. 5 ff.). Ihre Erwägungen, auf welche gemäss Art. 109 Abs. 3 BGG verwiesen werden kann, stützten sich auf die bundesgerichtliche Rechtsprechung und lassen keine Bundesrechtsverletzung erkennen. Rechtsfragen von grundsätzlicher Bedeutung stellen sich nicht. Auch sonst wie kommt der Angelegenheit keine besondere Tragweite zu. Für das Bundesgericht besteht deshalb kein Anlass, die Sache an die Hand zu nehmen. Die Beschwerde ist demnach unzulässig.</w:t>
      </w:r>
    </w:p>
    <w:p>
      <w:r>
        <w:rPr>
          <w:b/>
        </w:rPr>
        <w:t>E. 2</w:t>
      </w:r>
    </w:p>
    <w:p>
      <w:r>
        <w:t>Unter den gegebenen Umständen - der Beschwerdeführer befindet sich seit Längerem in Auslieferungshaft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