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1C_156/2017 vom 18. Mai 2017</w:t>
      </w:r>
    </w:p>
    <w:p>
      <w:r>
        <w:t>Bundesgericht, 2017-05-18, DE</w:t>
      </w:r>
    </w:p>
    <w:p>
      <w:r>
        <w:rPr>
          <w:b/>
        </w:rPr>
        <w:t xml:space="preserve">Quelle: </w:t>
      </w:r>
      <w:r>
        <w:t>https://mcp.opencaselaw.ch/entscheid/bger_1C_156_2017</w:t>
      </w:r>
    </w:p>
    <w:p>
      <w:r>
        <w:t>FR: TF 1C_156/2017 du 18 mai 2017</w:t>
      </w:r>
    </w:p>
    <w:p>
      <w:r>
        <w:t>IT: TF 1C_156/2017 del 18 maggio 2017</w:t>
      </w:r>
    </w:p>
    <w:p>
      <w:pPr>
        <w:pStyle w:val="Heading2"/>
      </w:pPr>
      <w:r>
        <w:t>Erwägungen</w:t>
      </w:r>
    </w:p>
    <w:p>
      <w:r>
        <w:rPr>
          <w:b/>
        </w:rPr>
        <w:t>E. 1</w:t>
      </w:r>
    </w:p>
    <w:p>
      <w:r>
        <w:t>Die Beschwerde richtet sich gegen einen Entscheid des Bundesverwaltungsgerichts in öffentlich-rechtlichen Angelegenheiten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Die übrigen Sachurteilsvoraussetzungen geben zu keinen Bemerkungen Anlass, sodass auf die Beschwerde unter diesem Vorbehalt einzutreten ist.</w:t>
      </w:r>
    </w:p>
    <w:p>
      <w:r>
        <w:rPr>
          <w:b/>
        </w:rPr>
        <w:t>E. 2.1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w:t>
      </w:r>
    </w:p>
    <w:p>
      <w:r>
        <w:t>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2.4</w:t>
      </w:r>
    </w:p>
    <w:p>
      <w:r>
        <w:t>Gemäss dem hier anwendbaren, am 1. März 2011 in Kraft getretenen Art. 41 Abs. 1bis BüG (in der Fassung vom 25. September 2009; AS 2011 347)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Die Neuregelung löste die frühere fünfjährige Frist ab (vgl. AS 1952 1087; BGE 140 II 65 E. 2.3). Dass die Nichtigerklärung vorliegend fristgerecht erfolgte, ist nicht mehr umstritten.</w:t>
      </w:r>
    </w:p>
    <w:p>
      <w:r>
        <w:rPr>
          <w:b/>
        </w:rPr>
        <w:t>E. 3.1</w:t>
      </w:r>
    </w:p>
    <w:p>
      <w:r>
        <w:t>Unbestritten ist, dass der Beschwerdeführer 1996 in die Schweiz einreiste und hier blieb, obwohl sein Asylgesuch abgewiesen und seine Wegweisung angeordnet worden waren. In dieser prekären Aufenthaltssituation lernte er eine 12 Jahre jüngere Schweizerin kennen, mit der er 2000 ein Kind hatte und die er am 3. August 2001 heiratete, worauf er eine Aufenthaltsbewilligung erhielt. Am 12. Dezember 2003 stellte er verfrüht ein Gesuch um erleichterte Einbürgerung, am 11. Oktober 2004 reichte er ein zweites Gesuch ein. Dessen Behandlung wurde zeitweise sistiert, weil der Beschwerdeführer wegen Beschimpfung etc. zu einer bedingten Gefängnisstrafe von 10 Tagen verurteilt worden war, nachdem er am 19. März 2005 gegenüber einer Patrouille der Bahnpolizei, die ihn kontrollieren wollte, ausfällig geworden war (Strafmandat des Untersuchungsrichteramts III Bern-Mittelland vom 22. April 2005). Nachdem der Beschwerdeführer und seine Ehefrau am 29. November 2008 die gemeinsame Erklärung, in einer stabilen, auf die Zukunft gerichteten Gemeinschaft zu leben, unterzeichnet hatten, wurde der Beschwerdeführer am 28. Dezember 2008 erleichtert eingebürgert. Am 1. September 2009 verliess der Beschwerdeführer seine Familie und bezog eine eigene Wohnung. Die eheliche Gemeinschaft wurde nicht wieder aufgenommen; die Scheidung erfolgte am 28. Februar 2012. Am 15. November 2013 heiratete er eine Äthiopierin, die er nach eigenen Angaben 2011 kennengelernt hatte. Diese hatte allerdings bei der Asylbefragung angegeben, in die Schweiz einreisen zu wollen, um ihren Jugendfreund ("petit ami d'enfance") zu heiraten und mit ihm eine Familie zu gründen.</w:t>
      </w:r>
    </w:p>
    <w:p>
      <w:r>
        <w:rPr>
          <w:b/>
        </w:rPr>
        <w:t>E. 3.2</w:t>
      </w:r>
    </w:p>
    <w:p>
      <w:r>
        <w:t>Gewisse Zweifel an der Lauterkeit der Heiratspläne des Beschwerdeführers erweckt schon der Umstand, dass der Eheschluss mit einer Schweizerin für ihn die einzige Möglichkeit darstellte, eine dauerhafte Aufenthaltsbewilligung in der Schweiz zu erlangen. Obwohl sein Bleiberecht damit gesichert war, setzte er in der Folge alles daran, so rasch als möglich - bzw. sogar vor Ablauf der gesetzlichen Fristen - eingebürgert zu werden. Rund acht Monate, nachdem er dieses Ziel erreicht hatte, verliess er, für seine Ehefrau völlig überraschend, seine Familie. 2 ½ Jahre danach folgte die Scheidung, worauf er ein Jahr und neun Monate später seine zweite, äthiopische Ehefrau heiratete.</w:t>
      </w:r>
    </w:p>
    <w:p>
      <w:r>
        <w:t>Diese Umstände lassen vermuten, dass der Beschwerdeführer Ende 2008, als er eingebürgert wurde, keineswegs die Absicht hatte, seine Ehe unbeschränkt weiterzuführen, sondern sie baldmöglichst zu beenden, was er rund 8 Monate danach auch tat, indem er Frau und Kinder verliess um alsdann, geschieden und als Schweizer Bürger, eine Äthiopierin in die Schweiz kommen zu lassen und zu heiraten.</w:t>
      </w:r>
    </w:p>
    <w:p>
      <w:r>
        <w:rPr>
          <w:b/>
        </w:rPr>
        <w:t>E. 3.3</w:t>
      </w:r>
    </w:p>
    <w:p>
      <w:r>
        <w:t>Der Beschwerdeführer bringt zwar vor, seine Ehe sei Ende 2008 intakt gewesen. Zum Scheitern gebracht habe sie erst der Besuch seiner Schwester im Juli 2009. Seine Ehefrau habe sich dieser gegenüber sehr feindselig gezeigt. Das habe ihn so schwer getroffen, dass er kurz darauf ausgezogen sei.</w:t>
      </w:r>
    </w:p>
    <w:p>
      <w:r>
        <w:t>Die Erklärung überzeugt nicht. Eheliche Schwierigkeiten bestanden schon länger. So wurde 2002 und zweimal 2004 die Polizei alarmiert wegen Familienstreitigkeiten; einmal wurde der Beschwerdeführer für eine Nacht aus der gemeinsamen Wohnung verwiesen. Die Ehefrau hat denn auch auf die schon vor der Ehe bestehenden finanziellen Schwierigkeiten ("Working-Poor-Familie") und die Problematik von bi-nationalen Ehen bzw. deren fehlender gesellschaftlicher Akzeptanz hingewiesen. Die Ehe war somit offensichtlich bereits Ende 2008 stark belastet. Auch wenn die Ehefrau (jedenfalls bis zum Auszug des Beschwerdeführers) gewillt war, die Ehe trotz dieser Spannungen weiterzuführen, so bedeutet das nicht, dass dieser Wille auch beim Ehemann vorhanden war. Der Konflikt um die Beherbergung seiner Schwester im Juli 2009 stellt offenkundig kein isoliertes Ereignis dar, sondern eine Eskalation schon lange vorbestehender Meinungsverschiedenheiten. Die Ehefrau wollte die knappen finanziellen Mittel der Familie im Wesentlichen für ihre Kernfamilie einsetzen, währenddem es sich der Beschwerdeführer nicht nehmen lassen wollte, auch seine Verwandten in Äthiopien zu unterstützen und, im Falle seiner Schwester, grosszügig zu beherbergen und in einem das Familienbudget sprengenden Mass zu beschenken. Der Beschwerdeführer vermag daher mit dem Einwand, der Besuch seiner Schwester habe zum Bruch mit seiner Frau geführt, die Vermutung nicht zu widerlegen, dass er bereits Ende 2008 entschlossen war, die Ehe nach der erfolgreichen Einbürgerung zum Scheitern zu bringen. Dazu passt, dass er nicht einmal versuchte, seine Ehefrau auf den Konflikt um den Besuch seiner Schwester anzusprechen und ihn im Gespräch zu klären, sondern ohne weitere Erklärungen aus der Familienwohnung auszog. Der Besuch war damit für den Beschwerdeführer nicht Anlass, die Ehe zu beenden, sondern diente ihm vielmehr als blosser Vorwand. Ob er diese Absicht bereits von Anfang hatte, wie die Vorinstanz argwöhnt, oder ob er diesen Entschluss erst später fasste, als die Ehe nicht so verlief, wie er es sich vorgestellt hatte, kann unter diesen Umständen dahingestellt bleiben. Die Beschwerde erweist sich damit als unbegründet.</w:t>
      </w:r>
    </w:p>
    <w:p>
      <w:r>
        <w:rPr>
          <w:b/>
        </w:rPr>
        <w:t>E. 4</w:t>
      </w:r>
    </w:p>
    <w:p>
      <w:r>
        <w:t>Die Beschwerde ist dementsprechend abzuweisen.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