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155/2007 vom 13. September 2007</w:t>
      </w:r>
    </w:p>
    <w:p>
      <w:r>
        <w:t>Bundesgericht, 2007-09-13, DE</w:t>
      </w:r>
    </w:p>
    <w:p>
      <w:r>
        <w:rPr>
          <w:b/>
        </w:rPr>
        <w:t xml:space="preserve">Quelle: </w:t>
      </w:r>
      <w:r>
        <w:t>https://mcp.opencaselaw.ch/entscheid/bger_1C_155_2007</w:t>
      </w:r>
    </w:p>
    <w:p>
      <w:r>
        <w:t>FR: TF 1C 155/2007 du 13 septembre 2007</w:t>
      </w:r>
    </w:p>
    <w:p>
      <w:r>
        <w:t>IT: TF 1C 155/2007 del 13 settembre 2007</w:t>
      </w:r>
    </w:p>
    <w:p>
      <w:pPr>
        <w:pStyle w:val="Heading2"/>
      </w:pPr>
      <w:r>
        <w:t>Regeste</w:t>
      </w:r>
    </w:p>
    <w:p>
      <w:r>
        <w:t>Sicherungsentzug; aufschiebende Wirkung | Strassenbau und Strassenverkehr</w:t>
      </w:r>
    </w:p>
    <w:p>
      <w:pPr>
        <w:pStyle w:val="Heading2"/>
      </w:pPr>
      <w:r>
        <w:t>Erwägungen</w:t>
      </w:r>
    </w:p>
    <w:p>
      <w:r>
        <w:rPr>
          <w:b/>
        </w:rPr>
        <w:t>E. 1.1</w:t>
      </w:r>
    </w:p>
    <w:p>
      <w:r>
        <w:t>Der angefochtene Entscheid betrifft eine Angelegenheit des öffentlichen Rechts. Dagegen ist nach Art. 82 lit. a BGG die Beschwerde in öffentlich-rechtlichen Angelegenheiten zulässig (vgl. Urteil 1C_50/2007 vom 30. Mai 2007 E. 3). Der angefochtene Entscheid schliesst das Verfahren betreffend den Führerausweisentzug nicht ab. Es handelt sich um einen Zwischenentscheid. Die Beschwerde ist gemäss Art. 93 BGG somit nur zulässig, wenn der angefochtene Entscheid einen nicht wieder gutzumachenden Nachteil bewirken kann (Abs. 1 lit. a). Dem Beschwerdeführer ist der Führerausweis seit dem 9. Juni 2006 entzogen. Er macht geltend, er sei aus beruflichen Gründen auf den Führerausweis angewiesen. Er wohne in der Nähe von Frauenfeld und arbeite in Y.________ bei St. Gallen. Da er dort um 06.00 Uhr zur Arbeit erscheinen müsse, könne er den Arbeitsplatz mit dem öffentlichen Verkehrsmittel nicht rechtzeitig erreichen. Er sei daher seit dem Führerausweisentzug gezwungen, ein Zimmer in St. Gallen zu mieten. Vieles spricht dafür, dass unter den gegebenen Umständen ein nicht wieder gutzumachender Nachteil im Sinne von Art. 93 Abs. 1 lit. a BGG zu bejahen ist. Die Frage kann jedoch offen bleiben. Wäre die Beschwerde zu behandeln, wäre sie aus folgenden Erwägungen jedenfalls unbehelflich.</w:t>
      </w:r>
    </w:p>
    <w:p>
      <w:r>
        <w:rPr>
          <w:b/>
        </w:rPr>
        <w:t>E. 1.2</w:t>
      </w:r>
    </w:p>
    <w:p>
      <w:r>
        <w:t>Gemäss Art. 98 BGG kann mit der Beschwerde gegen Entscheide über vorsorgliche Massnahmen nur die Verletzung verfassungsmässiger Rechte gerügt werden. Entscheide über die aufschiebende Wirkung stellen solche über vorsorgliche Massnahmen nach Art. 98 BGG dar (Urteil 9C_191/2007 vom 8. Mai 2007; Botschaft vom 28. Februar 2001 zur Totalrevision der Bundesrechtspflege, BBl 2001, S. 4336; Hansjörg Seiler/Nicolas von Werdt/Andreas Güngerich, Handkommentar zum Bundesgerichtsgesetz, Bern 2007, Art. 98 N. 7; vgl. auch Art. 46 Abs. 2 BGG : "... aufschiebende Wirkung und andere vorsorgliche Massnahmen ..."). Der Beschwerdeführer kann somit nur die Verletzung verfassungsmässiger Rechte rügen. Nach Art. 106 Abs. 2 BGG prüft das Bundesgericht die Verletzung von Grundrechten nur insofern, als eine solche Rüge in der Beschwerde vorgebracht und begründet worden ist. Der Beschwerdeführer muss - entsprechend den altrechtlichen Begründungsanforderungen bei der staatsrechtlichen Beschwerde nach Art. 90 Abs. 1 lit. b OG - klar und detailliert anhand der Erwägungen des angefochtenen Entscheids darlegen, inwiefern verfassungsmässige Rechte verletzt worden sein sollen ( BGE 133 III 393 E. 6 S. 397, mit Hinweisen).</w:t>
      </w:r>
    </w:p>
    <w:p>
      <w:r>
        <w:rPr>
          <w:b/>
        </w:rPr>
        <w:t>E. 2.1</w:t>
      </w:r>
    </w:p>
    <w:p>
      <w:r>
        <w:t>Der Beschwerdeführer beruft sich nur an einer einzigen Stelle in der Beschwerde (S. 9 f. Ziff. 2.1 f.) auf eine Verletzung seiner verfassungsmässigen Rechte. Er bringt vor, Art. 16 SVG , welcher neu den Entzug des Führerausweises regle, kenne die Unterteilung in Sicherungs- und Warnungsentzüge nicht mehr. Entsprechend gehe es nicht an, wenn die Vorinstanz zur Begründung, weshalb sie dem Rekurs die aufschiebende Wirkung verweigere, auf den für das alte Strassenverkehrsrecht aufgestellten Grundsatz "Warnung = Suspensivwirkung, Sicherung = keine Suspensivwirkung" abstelle. Wenn die Vorinstanz gestützt auf die unter der Ägide des alten Strassenverkehrsrechts entwickelten Grundsätze ausführe, dem Rekurs könne nur dann aufschiebende Wirkung erteilt werden, wenn die Voraussetzung für einen Sicherungsentzug mit grosser Wahrscheinlichkeit nicht gegeben sei, statt dass sie prüfe, ob im vorliegenden Fall unter Geltung des neuen Strassenverkehrsrechts konkret die Voraussetzungen für den Entzug der aufschiebenden Wirkung durch das Strassenverkehrsamt gegeben seien, verfalle sie in Willkür und verletze Art. 9 BV .</w:t>
      </w:r>
    </w:p>
    <w:p>
      <w:r>
        <w:rPr>
          <w:b/>
        </w:rPr>
        <w:t>E. 2.2</w:t>
      </w:r>
    </w:p>
    <w:p>
      <w:r>
        <w:t>Es kann offen bleiben, ob die Rüge den Begründungsanforderungen von Art. 106 Abs. 2 BGG genügt. Sie ist jedenfalls unbegründet. Nach der Rechtsprechung wird einer Beschwerde gegen einen Warnungsentzug die aufschiebende Wirkung in der Regel erteilt. Der Beschwerde gegen einen Sicherungsentzug ist die aufschiebende Wirkung dagegen, vorbehältlich besonderer Umstände, zu verweigern ( BGE 122 II 359 E. 3a S. 364; 106 Ib 115 E. 2b S. 117; René Schaffhauser, Grundriss des schweizerischen Strassenverkehrsrechts, Bd. III, Die Administrativmassnahmen, Bern 1995, S. 484 f. N. 2758). Die Bestimmungen über den Führerausweisentzug ( Art. 16 ff. SVG ) sind mit Bundesgesetz vom 14. Dezember 2001, in Kraft seit 1. Januar 2005, geändert worden. Zwar sind die Begriffe "Warnungsentzug" und "Sicherungsentzug" in Art. 16 ff. SVG nicht ausdrücklich enthalten. In der Sache ist die Unterscheidung jedoch beibehalten worden. Art. 16d SVG bildet die Grundlage für den Sicherungsentzug wegen fehlender Fahreignung und wiederspiegelt den neu formulierten Art. 14 Abs. 2 SVG . Die Art. 16a-c SVG regeln den Warnungsentzug (Botschaft vom 31. März 1999 zur Änderung des Strassenverkehrsgesetzes, BBl 1999 IV, S. 4491; René Schaffhauser, Die neuen Administrativmassnahmen des Strassenverkehrsgesetzes, Jahrbuch zum Strassenverkehrsrecht 2003, S. 175 N. 29). Besteht der Unterschied zwischen Warnungs- und Sicherungsentzug weiterhin, ist die dargelegte Rechtsprechung, welche im Zusammenhang mit der aufschiebenden Wirkung zwischen den beiden Arten unterscheidet, nach wie vor massgeblich. Damit ist es offensichtlich nicht willkürlich, wenn sich die Vorinstanz auf die genannte Rechtsprechung gestützt hat.</w:t>
      </w:r>
    </w:p>
    <w:p>
      <w:r>
        <w:rPr>
          <w:b/>
        </w:rPr>
        <w:t>E. 3</w:t>
      </w:r>
    </w:p>
    <w:p>
      <w:r>
        <w:t>Die Beschwerde ist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