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1C_154/2021 vom 7. April 2021</w:t>
      </w:r>
    </w:p>
    <w:p>
      <w:r>
        <w:t>Bundesgericht, 2021-04-07, DE</w:t>
      </w:r>
    </w:p>
    <w:p>
      <w:r>
        <w:rPr>
          <w:b/>
        </w:rPr>
        <w:t xml:space="preserve">Quelle: </w:t>
      </w:r>
      <w:r>
        <w:t>https://mcp.opencaselaw.ch/entscheid/bger_1C_154_2021</w:t>
      </w:r>
    </w:p>
    <w:p>
      <w:r>
        <w:t>FR: TF 1C_154/2021 du 7 avril 2021</w:t>
      </w:r>
    </w:p>
    <w:p>
      <w:r>
        <w:t>IT: TF 1C_154/2021 del 7 aprile 2021</w:t>
      </w:r>
    </w:p>
    <w:p>
      <w:pPr>
        <w:pStyle w:val="Heading2"/>
      </w:pPr>
      <w:r>
        <w:t>Erwägungen</w:t>
      </w:r>
    </w:p>
    <w:p>
      <w:r>
        <w:rPr>
          <w:b/>
        </w:rPr>
        <w:t>E. 1</w:t>
      </w:r>
    </w:p>
    <w:p>
      <w:r>
        <w:t>Am 20. September 2020 erstattete A.________ Strafanzeige wegen Amtsmissbrauchs gegen die Kantonspolizisten B.________, C.________, D.________ und E.________, die ihn am 17. September 2020 im Flughafen Kloten verhaftet hatten.</w:t>
      </w:r>
    </w:p>
    <w:p>
      <w:r>
        <w:t>Am 21. Oktober 2020 überwies die Staatsanwaltschaft Winterthur/Unterland die Akten ans Obergericht des Kantons Zürich mit dem Antrag, über die Erteilung bzw. Nichterteilung der Ermächtigung zur Durchführung einer Strafuntersuchung zu entscheiden. Sie erwog, die Ermächtigung sei mangels eines deliktsrelevanten Tatverdachts nicht zu erteilen.</w:t>
      </w:r>
    </w:p>
    <w:p>
      <w:r>
        <w:t>Mit Beschluss vom 22. Februar 2021 erteilte das Obergericht der Staatsanwaltschaft die Ermächtigung zur Eröffnung eines Strafverfahrens gegen B.________, C.________, D.________ und E.________ nicht.</w:t>
      </w:r>
    </w:p>
    <w:p>
      <w:r>
        <w:t>Mit Beschwerde in öffentlich-rechtlichen Angelegenheiten vom 19. März 2021 beantragt A.________ sinngemäss, diesen Entscheid aufzuheben und der Staatsanwaltschaft die Ermächtigung zur Eröffnung eines Strafverfahrens gegen B.________, C.________, D.________ und E.________ zu erteilen.</w:t>
      </w:r>
    </w:p>
    <w:p>
      <w:r>
        <w:t>Vernehmlassungen wurden keine eingeholt.</w:t>
      </w:r>
    </w:p>
    <w:p>
      <w:r>
        <w:rPr>
          <w:b/>
        </w:rPr>
        <w:t>E. 2.1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vier Kantonspolizisten, alles Beamte im Sinne dieser Bestimmung,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2.2</w:t>
      </w:r>
    </w:p>
    <w:p>
      <w:r>
        <w:t>Das Obergericht ist u.a. gestützt auf den gegen den Beschwerdeführer erlassenen Strafbefehl wegen Hinderung einer Amtshandlung und die Videoüberwachungsaufnahmen, auf denen die Verhaftungsaktion vom 17. September 2020 festgehalten wird, zum Schluss gekommen, es lägen keine Hinweise für ein strafrechtlich relevantes Verhalten der Polizisten vor. Die Behauptung des Beschwerdeführers, dass man ihm nach der Verhaftung zunächst ärztliche Hilfe verweigert habe, sei aktenwidrig, sei er doch noch vor Beginn der Einvernahme, bloss rund drei Stunden nach seiner Festnahme, von einem Arzt untersucht worden.</w:t>
      </w:r>
    </w:p>
    <w:p>
      <w:r>
        <w:t>Der Beschwerdeführer setzt sich mit diesen Ausführungen nicht sachgerecht auseinander, sondern macht vielmehr in kaum nachvollziehbarer Weise geltend, das Obergericht habe einen betrügerischen Beschluss gefasst, der "Gefängnischef" und der Staatsanwaltschaft hätten auf seinen Tod gewartet im Wissen darum, dass es sich um einen auf höherer Ebene geplanten Mordanschlag auf ihn gehandelt habe, da gewisse satanischen Kreise in Deutschland mit seinen neuen spirituellen Lehren nicht einverstanden seien. Diese und weitere ähnliche Ausführungen sind nicht geeignet, den angefochtenen Beschluss bundesrechtswidrig erscheinen zu lassen.</w:t>
      </w:r>
    </w:p>
    <w:p>
      <w:r>
        <w:t>Auf die Beschwerde ist wegen Verletzung der gesetzlichen Begründungspflicht nicht einzutreten, wobei auf die Erhebung von Gerichtskosten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