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1C_153/2016 vom 12. Mai 2016</w:t>
      </w:r>
    </w:p>
    <w:p>
      <w:r>
        <w:t>Bundesgericht, 2016-05-12, DE</w:t>
      </w:r>
    </w:p>
    <w:p>
      <w:r>
        <w:rPr>
          <w:b/>
        </w:rPr>
        <w:t xml:space="preserve">Quelle: </w:t>
      </w:r>
      <w:r>
        <w:t>https://mcp.opencaselaw.ch/entscheid/bger_1C_153_2016</w:t>
      </w:r>
    </w:p>
    <w:p>
      <w:r>
        <w:t>FR: TF 1C_153/2016 du 12 mai 2016</w:t>
      </w:r>
    </w:p>
    <w:p>
      <w:r>
        <w:t>IT: TF 1C_153/2016 del 12 maggio 2016</w:t>
      </w:r>
    </w:p>
    <w:p>
      <w:pPr>
        <w:pStyle w:val="Heading2"/>
      </w:pPr>
      <w:r>
        <w:t>Erwägungen</w:t>
      </w:r>
    </w:p>
    <w:p>
      <w:r>
        <w:rPr>
          <w:b/>
        </w:rPr>
        <w:t>E. 1.1</w:t>
      </w:r>
    </w:p>
    <w:p>
      <w:r>
        <w:t>Gemäss Art. 84 BGG ist gegen einen Entscheid auf dem Gebiet der internationalen Rechtshilfe in Strafsachen die Beschwerde nur zulässig, wenn er unter anderem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Herausgabe von Vermögenswerten und damit ein Sachgebiet, bei dem die Beschwerde nach Art. 84 BGG insoweit möglich ist. Was die Beschwerdeführer vorbringen (Beschwerde S. 7 Ziff. 4), ist nach der zutreffenden Auffassung des BJ jedoch nicht geeignet, einen besonders bedeutenden Fall darzutun.</w:t>
      </w:r>
    </w:p>
    <w:p>
      <w:r>
        <w:t>Die Vorinstanzen haben das undatierte Schreiben des chilenischen Aussenministeriums, das dem BJ am 30. September 2015 unter im diplomatischen Verkehr unüblichen und dubiosen Umständen zugekommen ist, berücksichtigt. Eine Verletzung des rechtlichen Gehörs ist damit nicht auszumachen. Das BJ hat die chilenische Botschaft um eine Stellungnahme zu diesem Schreiben ersucht. Danach gibt es kein Revisionsurteil des Obersten chilenischen Gerichts. Dies stellt entgegen der Ansicht des Beschwerdeführers eine schlüssige Auskunft dar. Zu einer weiteren Nachfrage hatte das BJ unter den gegebenen Umständen keinen Anlass.</w:t>
      </w:r>
    </w:p>
    <w:p>
      <w:r>
        <w:t>Die Erwägungen im angefochtenen Entscheid, auf welche gemäss Art. 109 Abs. 3 BGG verwiesen werden kann, lassen keine Bundesrechtsverletzung erkennen. Rechtsfragen von grundsätzlicher Bedeutung stellen sich nicht. Für das Bundesgericht besteht deshalb kein Anlass, die Sache an die Hand zu nehmen.</w:t>
      </w:r>
    </w:p>
    <w:p>
      <w:r>
        <w:rPr>
          <w:b/>
        </w:rPr>
        <w:t>E. 2</w:t>
      </w:r>
    </w:p>
    <w:p>
      <w:r>
        <w:t>Auf die Beschwerde wird nicht eingetreten.</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