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1C_151/2023 vom 16. Februar 2023</w:t>
      </w:r>
    </w:p>
    <w:p>
      <w:r>
        <w:t>Bundesgericht, 2023-02-16, DE</w:t>
      </w:r>
    </w:p>
    <w:p>
      <w:r>
        <w:rPr>
          <w:b/>
        </w:rPr>
        <w:t xml:space="preserve">Quelle: </w:t>
      </w:r>
      <w:r>
        <w:t>https://mcp.opencaselaw.ch/entscheid/bger_1C_151_2023</w:t>
      </w:r>
    </w:p>
    <w:p>
      <w:r>
        <w:t>FR: TF 1C_151/2023 du 16 février 2023</w:t>
      </w:r>
    </w:p>
    <w:p>
      <w:r>
        <w:t>IT: TF 1C_151/2023 del 16 febbraio 2023</w:t>
      </w:r>
    </w:p>
    <w:p>
      <w:pPr>
        <w:pStyle w:val="Heading2"/>
      </w:pPr>
      <w:r>
        <w:t>Erwägungen</w:t>
      </w:r>
    </w:p>
    <w:p>
      <w:r>
        <w:rPr>
          <w:b/>
        </w:rPr>
        <w:t>E. 1</w:t>
      </w:r>
    </w:p>
    <w:p>
      <w:r>
        <w:t>A.________ erhob mit Eingabe vom 14. Februar 2023 beim Verwaltungsgericht des Kantons Zürich "Klage" gegen den Regierungsrat bzw. das Statistische Amt des Kantons Zürich, Abteilung Wahlen und Abstimmungen, und beantragte sinngemäss, er sei rückwirkend als Einwohner der Stadt Zürich zu den Kantons- und Regierungsratswahlen vom 12. Februar 2023 zuzulassen und diese "als unwirksam zu stellen" bzw. zu wiederholen. Das Verwaltungsgericht des Kantons Zürich nahm die "Klage" als Beschwerde entgegen und trat darauf mit Verfügung vom 16. Februar 2023 nicht ein.</w:t>
      </w:r>
    </w:p>
    <w:p>
      <w:r>
        <w:rPr>
          <w:b/>
        </w:rPr>
        <w:t>E. 2</w:t>
      </w:r>
    </w:p>
    <w:p>
      <w:r>
        <w:t>A.________ führt mit Eingabe vom 20. März 2023 (Postaufgabe 21. März 2023) Beschwerde in öffentlich-rechtlichen Angelegenheiten gegen die Verfügung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setzt sich mit der Begründung des Verwaltungsgerichts, die zum Nichteintreten auf sein Beschwerde führte, nicht auseinander. Mit seinen Ausführungen vermag er nicht im Einzelnen und konkret aufzuzeigen, inwiefern die Begründung des Verwaltungsgerichts bzw. dessen Verfügung selbst rechts- bzw. verfassungswidrig sein soll. Die Beschwerde genügt den Begründungsanforderungen von Art. 42 Abs. 2 BGG offensichtlich nicht, weshalb auf sie im vereinfachten Verfahren nach Art. 108 Abs. 1 BGG nicht einzutreten ist.</w:t>
      </w:r>
    </w:p>
    <w:p>
      <w:r>
        <w:rPr>
          <w:b/>
        </w:rPr>
        <w:t>E. 4</w:t>
      </w:r>
    </w:p>
    <w:p>
      <w:r>
        <w:t>Angesichts der Aussichtslosigkeit des Verfahrens ist dem sinngemäss gestellten Gesuch um unentgeltliche Rechtspflege und Beiordnung von Rechtsanwalt B.________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