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1C_151/2020 vom 10. November 2020</w:t>
      </w:r>
    </w:p>
    <w:p>
      <w:r>
        <w:t>Bundesgericht, 2020-11-10, DE</w:t>
      </w:r>
    </w:p>
    <w:p>
      <w:r>
        <w:rPr>
          <w:b/>
        </w:rPr>
        <w:t xml:space="preserve">Quelle: </w:t>
      </w:r>
      <w:r>
        <w:t>https://mcp.opencaselaw.ch/entscheid/bger_1C_151_2020</w:t>
      </w:r>
    </w:p>
    <w:p>
      <w:r>
        <w:t>FR: TF 1C_151/2020 du 10 novembre 2020</w:t>
      </w:r>
    </w:p>
    <w:p>
      <w:r>
        <w:t>IT: TF 1C_151/2020 del 10 novembre 2020</w:t>
      </w:r>
    </w:p>
    <w:p>
      <w:pPr>
        <w:pStyle w:val="Heading2"/>
      </w:pPr>
      <w:r>
        <w:t>Erwägungen</w:t>
      </w:r>
    </w:p>
    <w:p>
      <w:r>
        <w:rPr>
          <w:b/>
        </w:rPr>
        <w:t>E. 1</w:t>
      </w:r>
    </w:p>
    <w:p>
      <w:r>
        <w:t>Beide Beschwerden richten sich gegen denselben Entscheid des Bundesverwaltungsgerichts, weshalb es sich rechtfertigt, die Verfahren zu vereinigen.</w:t>
      </w:r>
    </w:p>
    <w:p>
      <w:r>
        <w:rPr>
          <w:b/>
        </w:rPr>
        <w:t>E. 2</w:t>
      </w:r>
    </w:p>
    <w:p>
      <w:r>
        <w:t>Der angefochtene Entscheid des Bundesverwaltungsgerichts schliesst das Enteignungsverfahren nicht ab, sondern weist die Sache mit materiellrechtlichen Vorgaben zu neuem Entscheid an die ESchK 10 zurück. Dieser steht - entgegen dem Vorbringen der Enteigner - noch ein gewisser Entscheidungsspielraum zur Verfügung, beschränkt sich doch der Entscheid des Bundesverwaltungsgerichts auf die Frage der Unvorhersehbarkeit, d.h. auf eine von mehreren materiell-rechtlichen Anspruchsvoraussetzungen. Es handelt sich insofern um einen Zwischenentscheid ( Art. 93 BGG ; vgl. grundlegend BGE 133 V 477 E. 4 S. 480 ff.; ständige Praxis; vgl. z.B. BGE 142 II 363 E. 1.1 S. 365 f.).</w:t>
      </w:r>
    </w:p>
    <w:p>
      <w:r>
        <w:t>Der angefochtene Entscheid betrifft nicht die Zuständigkeit oder den Ausstand (im Sinne von Art. 92 BGG ) und ist somit nur unter den Voraussetzungen von Art. 93 Abs. 1 BGG selbstständig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Dies ist in der Beschwerdeschrift zu begründen ( Art. 42 Abs. 2 BGG ; vgl. BGE 134 II 137 E. 1.3.3 S. 141).</w:t>
      </w:r>
    </w:p>
    <w:p>
      <w:r>
        <w:rPr>
          <w:b/>
        </w:rPr>
        <w:t>E. 2.1</w:t>
      </w:r>
    </w:p>
    <w:p>
      <w:r>
        <w:t>Die Enteigner machen geltend, ein Eintreten sei mit Blick auf die lange Verfahrensdauer geboten, da seit Geltendmachung der Entschädigungsforderung 22 Jahre verstrichen seien. Die Enteigneten wenden ein, die bisherige, lange Verfahrensdauer sei vor allem von den Enteignern zu verantworten; diese erlitten durch die Verzögerng keinen greifbaren Nachteil, zumal sie auf die Minderwertentschädigung für die Baulandparzelle keinen Zins zu entrichten hätten (gemäss BGE 134 II 152 E. 11.4).</w:t>
      </w:r>
    </w:p>
    <w:p>
      <w:r>
        <w:t>Die selbstständige Anfechtbarkeit von Zwischenentscheiden bildet aus prozessökonomischen Gründen eine Ausnahme vom Grundsatz, dass sich das Bundesgericht mit jeder Angelegenheit nur einmal befassen soll ( BGE 142 III 798 E. 2.2 S. 801; 141 III 80 E. 1.2 S. 81). Die blosse Verlängerung oder Verteuerung des Verfahrens genügt generell nicht, um einen sofortigen Entscheid des Bundesgerichts zu erwirken ( BGE 142 II 20 E. 1.4 S. 25 f.; 136 II 165 E. 1.2.1 S. 170). Ausnahmsweise kann das Eintreten jedoch verfassungsrechtlich geboten sein, wenn es rechtsstaatlich unzumutbar wäre, die Beschwerdeführerin in einem komplexen, aufwendigen, viele Beteiligten umfassenden Verfahren auf die Anfechtung des Endentscheids zu verweisen ( BGE 136 II 165 E. 1.2 S. 170; 142 II 20 E. 1.4 S. 25). Vorliegend geht es nicht um ein Massenverfahren oder einen Pilotentscheid; die streitige Frage betrifft die Auslegung eines konkreten Vertrags und hat keine über das Verfahren hinausgehende präjudizielle Bedeutung für eine Vielzahl weiterer Verfahren. Zwar können nicht nur die Enteigneten, sondern grundsätzlich auch die Enteigner das Beschleunigungsgebot anrufen ( Art. 29 Abs. 1 BV ; Art. 6 Ziff. 1 EMRK ). Dennoch ist zu verlangen, dass sie mindestens darlegen, inwiefern die mit der Rückweisung verbundene Verzögerung des Verfahrens für sie unzumutbar wäre. Dies wird vorliegend weder dargelegt noch liegt es auf der Hand.</w:t>
      </w:r>
    </w:p>
    <w:p>
      <w:r>
        <w:rPr>
          <w:b/>
        </w:rPr>
        <w:t>E. 2.2</w:t>
      </w:r>
    </w:p>
    <w:p>
      <w:r>
        <w:t>Die Enteigner machen weiter geltend, es könne bei Gutheissung der Beschwerde sofort ein Endentscheid herbeigeführt werden, weil bei Verneinung der Voraussetzung der Unvorhersehbarkeit kein Anspruch auf einen Entschädigungsanspruch wegen übermässiger Fluglärmimmissionen bestehe und unstreitig kein direkter Überflug vorliege. Dem ist zuzustimmen; dagegen wird nicht substanziiert dargelegt, inwiefern damit ein bedeutender Aufwand an Zeit oder Kosten für ein weitläufiges Beweisverfahren erspart würde. Dabei kann offenbleiben, ob der vom Bundesgericht in BGE 134 II 152 (E. 11.4 S. 159) zugrundegelegte Quadratmeterpreis für Bauland in Opfikon auch im vorliegenden Fall zur Anwendung gelangt (wie die Enteigneten geltend machen) oder noch eine Schätzung im Einzelfall erforderlich ist (wie die Enteigner behaupten), da jedenfalls keine Anhaltspunkte für ein besonders aufwendiges Beweisverfahren vorgebracht werden.</w:t>
      </w:r>
    </w:p>
    <w:p>
      <w:r>
        <w:rPr>
          <w:b/>
        </w:rPr>
        <w:t>E. 2.3</w:t>
      </w:r>
    </w:p>
    <w:p>
      <w:r>
        <w:t>Nach dem Gesagten ist daher auf die Beschwerde der Enteigner nicht einzutreten.</w:t>
      </w:r>
    </w:p>
    <w:p>
      <w:r>
        <w:rPr>
          <w:b/>
        </w:rPr>
        <w:t>E. 3</w:t>
      </w:r>
    </w:p>
    <w:p>
      <w:r>
        <w:t>Gleiches gilt für die Beschwerde der Enteigneten. Diese betrifft einzig die Parteientschädigung für das Verfahren vor Bundesverwaltungsgericht. Nach ständiger bundesgerichtlicher Rechtsprechung liegt ein Zwischenentscheid auch vor, wenn die Vorinstanz des Bundesgerichts im Rahmen eines Rückweisungsentscheids über die Kostenfolgen befindet ( BGE 142 II 363 E. 1.1 S. 366 mit Hinweisen). Ein derartiger Zwischenentscheid verursacht keinen nicht wieder gutzumachenden Nachteil ( Art. 93 Abs. 1 lit. a BGG ), weil der Kostenentscheid im Anschluss an den Endentscheid in der Sache angefochten werden kann ( Art. 93 Abs. 3 BGG ). Wird die von der unteren Instanz aufgrund des Rückweisungsentscheids erlassene neue Verfügung in der Sache nicht mehr angefochten, kann direkt im Anschluss an diese neue Verfügung die Kostenregelung im Rückweisungsentscheid innert der Beschwerdefrist von Art. 100 BGG beim Bundesgericht angefochten werden ( BGE 142 II 363 E. 1.1 S. 366 mit Hinweisen).</w:t>
      </w:r>
    </w:p>
    <w:p>
      <w:r>
        <w:t>Die Enteigneten - die im Verfahren 1C_151/2020 selbst (und zu Recht) vom Vorliegen eines Zwischenentscheids ausgehen - legen denn auch mit keinem Wort dar, inwiefern ihnen ein nicht wieder gutzumachender Nachteil i.S.v. Art. 93 Abs. 1 lit. a BGG droht oder die Voraussetzungen gemäss Art. 93 Abs. 1 lit. b BGG erfüllt seien.</w:t>
      </w:r>
    </w:p>
    <w:p>
      <w:r>
        <w:rPr>
          <w:b/>
        </w:rPr>
        <w:t>E. 4</w:t>
      </w:r>
    </w:p>
    <w:p>
      <w:r>
        <w:t>Nach dem Gesagten ist auf beide Beschwerden nicht einzutreten. Bei diesem Ausgang des Verfahrens rechtfertigt es sich, die bundesgerichtlichen Kosten den Enteignern und den Enteigneten je zur Hälfte aufzuerlegen ( Art. 66 Abs. 1 BGG ). Die Flughafen Zürich AG nimmt als Betreiberin eines Flughafens, der dem öffentlichen Verkehr dient, öffentliche Aufgaben wahr (Urteil 1C_78/2019 vom 22. November 2019 E. 6 mit Hinweis). Da sie und der Kanton Zürich in ihrem Vermögensinteresse prozessieren, werden sie dennoch kostenpflichtig ( Art. 66 Abs. 4 BGG ). Die Enteigneten haben - anders als die Eneigner ( Art. 68 Abs. 3 BGG ) - Anspruch auf eine Parteientschädigung im Verfahren 1C_151/2020, nicht aber im Verfahren 1C_165/2020, in welchem sie unterliegen.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