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151/2015 vom 1. Juli 2015</w:t>
      </w:r>
    </w:p>
    <w:p>
      <w:r>
        <w:t>Bundesgericht, 2015-07-01, DE</w:t>
      </w:r>
    </w:p>
    <w:p>
      <w:r>
        <w:rPr>
          <w:b/>
        </w:rPr>
        <w:t xml:space="preserve">Quelle: </w:t>
      </w:r>
      <w:r>
        <w:t>https://mcp.opencaselaw.ch/entscheid/bger_1C_151_2015</w:t>
      </w:r>
    </w:p>
    <w:p>
      <w:r>
        <w:t>FR: TF 1C 151/2015 du 1 juillet 2015</w:t>
      </w:r>
    </w:p>
    <w:p>
      <w:r>
        <w:t>IT: TF 1C 151/2015 del 1 luglio 2015</w:t>
      </w:r>
    </w:p>
    <w:p>
      <w:pPr>
        <w:pStyle w:val="Heading2"/>
      </w:pPr>
      <w:r>
        <w:t>Regeste</w:t>
      </w:r>
    </w:p>
    <w:p>
      <w:r>
        <w:t>Baubewilligung | Raumplanung und öffentliches Baurecht</w:t>
      </w:r>
    </w:p>
    <w:p>
      <w:pPr>
        <w:pStyle w:val="Heading2"/>
      </w:pPr>
      <w:r>
        <w:t>Erwägungen</w:t>
      </w:r>
    </w:p>
    <w:p>
      <w:r>
        <w:rPr>
          <w:b/>
        </w:rPr>
        <w:t>E. 1.1</w:t>
      </w:r>
    </w:p>
    <w:p>
      <w:r>
        <w:t>Angefochten ist ein kantonal letztinstanzlicher Endentscheid über eine Baubewilligung. Dagegen steht die Beschwerde in öffentlich-rechtlichen Angelegenheiten nach Art. 82 ff. BGG offen; ein Ausschlussgrund ist nicht gegeben ( Art. 83 BGG ). Die Beschwerdeführerin ist als direkt betroffene Bauherrin, die am vorinstanzlichen Verfahren teilgenommen hat, zur Beschwerdeführung legitimiert ( Art. 89 Abs. 1 BGG ). Da auch die übrigen Sachurteilsvoraussetzungen erfüllt sind, ist auf die Beschwerde grundsätzlich einzutreten.</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 einschliesslich die willkürliche Anwendung von kantonalem und kommunalem Recht - wird vom Bundesgericht aber nur insoweit geprüft, als eine solche Rüge in der Beschwerde vorgebracht und begründet worden ist ( Art. 106 Abs. 2 BGG ). Hierzu gelten qualifizierte Begründungsanforderungen ( BGE 133 II 249 E. 1.4.2 S. 254 f. mit Hinweisen). Das Bundesgericht prüft nur klar und detailliert erhobene und, soweit möglich, belegte Rügen; auf rein appellatorische Kritik am angefochtenen Entscheid tritt es nicht ein.</w:t>
      </w:r>
    </w:p>
    <w:p>
      <w:r>
        <w:rPr>
          <w:b/>
        </w:rPr>
        <w:t>E. 2.1</w:t>
      </w:r>
    </w:p>
    <w:p>
      <w:r>
        <w:t>Die Beschwerdeführerin bringt zunächst vor, der geplante und bereits vorgenommene Umbau unterliege weder nach kantonalem Recht (§ 98 des Planungs- und Baugesetzes vom 21. Dezember 2011 des Kantons Thurgau [PBG, RB 700]) noch nach Bundesrecht ( Art. 22 RPG [SR 700]) der Bewilligungspflicht.</w:t>
      </w:r>
    </w:p>
    <w:p>
      <w:r>
        <w:rPr>
          <w:b/>
        </w:rPr>
        <w:t>E. 2.2</w:t>
      </w:r>
    </w:p>
    <w:p>
      <w:r>
        <w:t>Diese Rüge ist unzulässig. Indem die Beschwerdeführerin um die Erteilung einer Baubewilligung ersucht, geht sie selbst davon aus, dass das Vorhaben bewilligungspflichtig ist. Der Einwand der fehlenden Bewilligungspflicht ist somit widersprüchlich. Es erübrigt sich, weiter darauf einzugehen.</w:t>
      </w:r>
    </w:p>
    <w:p>
      <w:r>
        <w:rPr>
          <w:b/>
        </w:rPr>
        <w:t>E. 3</w:t>
      </w:r>
    </w:p>
    <w:p>
      <w:r>
        <w:t>Die Beschwerdeführerin macht ferner geltend, sie habe durch die Einreichung eines nachträglichen Baugesuchs für den Einbau zusätzlicher Wohnungen nicht im Sinne von Art. 2 ZGB rechtsmissbräuchlich gehandelt.</w:t>
      </w:r>
    </w:p>
    <w:p>
      <w:r>
        <w:rPr>
          <w:b/>
        </w:rPr>
        <w:t>E. 3.1</w:t>
      </w:r>
    </w:p>
    <w:p>
      <w:r>
        <w:t>Die Vorinstanz erwog, es sei offensichtlich, dass die Beschwerdeführerin immer wieder durch verschiedenste Abänderungen versucht habe, in unzulässiger Weise mehr Wohnungen in die Mehrfamilienhäuser einzubauen als bewilligt worden seien. Anlässlich einer Baukontrolle am 29. März 2012 sei festgestellt worden, dass im Mehrfamilienhaus auf dem Grundstück Nr. xxx entgegen den bewilligten Plänen abweichende Bauarbeiten durchgeführt worden seien. Vergleiche man die Pläne des nachträglichen Baugesuchs vom 4. Juni 2013 mit denjenigen des ersten Baugesuchs vom 5. Mai 2010, falle zudem auf, dass einmal mehr genau bzw. im Wesentlichen das eingereicht worden sei, was die Gemeinde bereits am 21. September 2010 abgelehnt und das DBU mit rechtskräftigem Rekursentscheid vom 21. März 2011 bestätigt hatte. Die Beschwerdeführerin habe methodisch versucht, einen fait accompli zu schaffen, bevor sie um eine entsprechende Baubewilligung ersucht habe. Dies sei krass rechtsmissbräuchlich.</w:t>
      </w:r>
    </w:p>
    <w:p>
      <w:r>
        <w:rPr>
          <w:b/>
        </w:rPr>
        <w:t>E. 3.2</w:t>
      </w:r>
    </w:p>
    <w:p>
      <w:r>
        <w:t>Die Beschwerdeführerin bestreitet die vorinstanzliche Feststellung nicht, wonach das Baugesuch vom 4. Juni 2013 genau bzw. im Wesentlichen demjenigen entspricht, welches sie bereits am 5. Mai 2010 eingereicht hatte und rechtskräftig abgelehnt worden ist. Aus den Akten ist ersichtlich, dass das neue Baugesuch genau gleich viele Wohnungen vorsieht, wie das abgewiesene Bauvorhaben in den oberirdischen Geschossen. Daher läuft das nachträgliche Baugesuch im Grunde genommen darauf hinaus, eine Wiedererwägung einer in formelle Rechtskraft erwachsenen Bewilligungsverweigerung zu erwirken. Die Wiedererwägung ist nicht beliebig zulässig; sie darf namentlich nicht bloss dazu dienen, rechtskräftige Verwaltungsentscheide immer wieder infrage zu stellen ( BGE 136 II 177 E. 2.1 S. 181; 120 Ib 42 E. 2b S. 47 mit Hinweisen). Die Beschwerdeführerin bringt vorliegend keine Gründe vor, welche ein Rückkommen auf die Bewilligungsverweigerung gestützt auf Art. 29 BV rechtfertigen würden. Solche bestehen, wenn die Umstände sich seit dem ersten Entscheid wesentlich geändert haben oder wenn die Gesuchstellerin erhebliche Tatsachen und Beweismittel namhaft macht, die ihr im früheren Verfahren nicht bekannt waren oder die schon damals geltend zu machen für sie rechtlich oder tatsächlich unmöglich war oder keine Veranlassung bestand ( BGE 138 I 61 E. 4.3 S. 72 f.; 136 II 177 E. 2.1 S. 181; 124 II 1 E. 3a S. 6; je mit Hinweisen). Daher ist die Bewilligungsverweigerung nicht schon deshalb ursprünglich fehlerhaft, weil die Beschwerdeführerin sich im früheren Baubewilligungsverfahren nicht hat juristisch beraten lassen. Gleichermassen unbehelflich ist das Argument, sie sei nach erfolgter juristischer Beratung der Auffassung, der Einbau zusätzlicher Wohnungen sei nicht bewilligungspflichtig bzw. auf jeden Fall bewilligungsfähig. Darin ist keine wesentliche Veränderung der Rechts- oder Sachlage zu erblicken. Zudem geht es nicht an, dass die Beschwerdeführerin aufgrund eigener Einschätzungen nicht bewilligte, aber - wie in E. 2.3 ausgeführt - bewilligungspflichtige Umbauarbeiten vornimmt und hierfür erst im Nachhinein um eine Bewilligung ersucht. Sinn und Zweck der Baubewilligungspflicht ist, ein Bauvorhaben vor seiner Ausführung auf die Einhaltung der bau- und nutzungsrechtlichen Vorschriften hin zu überprüfen (vgl. E. 2.2). Schliesslich stellt auch der Einwand der Beschwerdeführerin, sie sei für die Verstösse gegen die Bauvorschriften bestraft worden, keinen anerkannten Rückkommensgrund dar. Eine allfällige strafrechtliche Verurteilung wegen Ausführens von Bauarbeiten ohne Baubewilligung ist vom verwaltungsrechtlichen Verfahren zu trennen. Abgesehen davon, dass einer Baubewilligungsverweigerung kein pönaler Charakter zukommt, bringt die Beschwerdeführerin nicht in rechtsgenüglicher Weise vor ( Art. 42 Abs. 2 BGG ), weshalb die Parallelität von Straf- und Verwaltungsverfahren den Grundsatz ne bis in idem verletzen soll (vgl. dazu BGE 137 I 363 E. 2 S. 364 ff. mit Hinweisen). Inwiefern sie durch die Abweisung des Baugesuchs stärker bestraft werde als ein anderer Bauherr, der kein neues Baugesuch stellt, leuchtet nicht ein. In beiden Fällen ist über einen Rückbau der in Abweichung der Baubewilligung erstellten Umbauten zu befinden. Die Beschwerdeführerin vermag nicht aufzuzeigen, weshalb auf die rechtskräftige Abweisung des Baugesuchs zurückzukommen ist. Im Übrigen räumt sie ein, mehrfach in Abweichung von den bewilligten Plänen gebaut zu haben. Ihr Verhalten ist deshalb auch als widersprüchlich einzustufen, weshalb es keinen Rechtsschutz findet.</w:t>
      </w:r>
    </w:p>
    <w:p>
      <w:r>
        <w:rPr>
          <w:b/>
        </w:rPr>
        <w:t>E. 4</w:t>
      </w:r>
    </w:p>
    <w:p>
      <w:r>
        <w:t>Die Beschwerde erweist sich somit als unbegründet und ist abzuweisen. Bei diesem Verfahrensausgang wird die Beschwerdeführerin für das Gerichtsverfahren kostenpflichtig ( Art. 66 Abs. 1 BGG ) und ihr steht keine Parteientschädigung zu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