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150/2022 vom 8. März 2022</w:t>
      </w:r>
    </w:p>
    <w:p>
      <w:r>
        <w:t>Bundesgericht, 2022-03-08, DE</w:t>
      </w:r>
    </w:p>
    <w:p>
      <w:r>
        <w:rPr>
          <w:b/>
        </w:rPr>
        <w:t xml:space="preserve">Quelle: </w:t>
      </w:r>
      <w:r>
        <w:t>https://mcp.opencaselaw.ch/entscheid/bger_1C_150_2022</w:t>
      </w:r>
    </w:p>
    <w:p>
      <w:r>
        <w:t>FR: TF 1C 150/2022 du 8 mars 2022</w:t>
      </w:r>
    </w:p>
    <w:p>
      <w:r>
        <w:t>IT: TF 1C 150/2022 del 8 marzo 2022</w:t>
      </w:r>
    </w:p>
    <w:p>
      <w:pPr>
        <w:pStyle w:val="Heading2"/>
      </w:pPr>
      <w:r>
        <w:t>Regeste</w:t>
      </w:r>
    </w:p>
    <w:p>
      <w:r>
        <w:t>Warnungsentzug | Strassenbau und Strassenverkehr</w:t>
      </w:r>
    </w:p>
    <w:p>
      <w:pPr>
        <w:pStyle w:val="Heading2"/>
      </w:pPr>
      <w:r>
        <w:t>Erwägungen</w:t>
      </w:r>
    </w:p>
    <w:p>
      <w:r>
        <w:rPr>
          <w:b/>
        </w:rPr>
        <w:t>E. 1</w:t>
      </w:r>
    </w:p>
    <w:p>
      <w:r>
        <w:t>Am 26. Januar 2022 hat das Verwaltungsgericht des Kantons Thurgau die Beschwerde von A.________ betreffend einen Warnungsentzug abgewiesen, soweit es darauf eintrat. Das Urteil wurde dem Rechtsvertreter von A.________, Rechtsanwalt Roger Burges, am 1. Februar 2022 zugestellt. Mit als "Einsprache, Beschwerde Fristverlängerung" betitelter Eingabe vom 2. März 2022, welche er am 3. März 2022 bei der Post aufgab, beantragt A.________, ihm die Beschwerdefrist um 30 Tage zu verlängern. Sein Anwalt habe wegen eines Konflikts mit seinem Vater das Mandat niedergelegt; es habe, was seit dem 2. März 2022 offensichtlich geworden sei, kein Kompromiss gefunden werden können. Als Laie sei er für die Beschwerdeführung auf die Unterstützung eines Rechtsanwaltes angewiesen, weshalb er einen solchen suchen und das Bundesgericht darüber informieren werde.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angefochtene Entscheid wurde dem Rechtsvertreter des Beschwerdeführers am 1. Februar 2022 zugestellt, womit die Beschwerdefrist am 2. Februar 2022 zu laufen begann ( Art. 44 Abs. 1 BGG ) und am 3. März 2022 endete ( Art. 100 Abs. 1 BGG ). Der Beschwerdeführer hat somit am letzten Tag der Frist Beschwerde erhoben und deren Erstreckung beantragt. Dem Antrag kann indessen nicht entsprochen werden, weil sie als gesetzliche Frist nicht erstreckt werden kann ( Art. 47 Abs. 1 BGG ). Die Eingabe selber enthält keine Begründung, weshalb der angefochtene Entscheid Bundesrecht verletzt, und das ist auch nicht offensichtlich. Auf die Beschwerde ist damit wegen Verletzung der gesetzlichen Begründungspflicht nicht einzutreten, wobei auf die Erhebung von Kosten ausnahmsweise abgesehen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