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1C_149/2024 vom 14. März 2024</w:t>
      </w:r>
    </w:p>
    <w:p>
      <w:r>
        <w:t>Bundesgericht, 2024-03-14, DE</w:t>
      </w:r>
    </w:p>
    <w:p>
      <w:r>
        <w:rPr>
          <w:b/>
        </w:rPr>
        <w:t xml:space="preserve">Quelle: </w:t>
      </w:r>
      <w:r>
        <w:t>https://mcp.opencaselaw.ch/entscheid/bger_1C_149_2024</w:t>
      </w:r>
    </w:p>
    <w:p>
      <w:r>
        <w:t>FR: TF 1C_149/2024 du 14 mars 2024</w:t>
      </w:r>
    </w:p>
    <w:p>
      <w:r>
        <w:t>IT: TF 1C_149/2024 del 14 marzo 2024</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Das Bundesstrafgericht hat eingehend geprüft, ob der in Abwesenheit verurteilte Beschwerdeführer im erstinstanzlichen Strafverfahren in Rumänien korrekt vorgeladen worden war. Der nicht belegten oder konkretisierten Darstellung des damals in Polen wohnhaften Beschwerdeführers, er sei mit Gewalt zur Bezeichnung eines Zustelldomizils gezwungen worden und habe wegen der fehlenden Übersetzung nicht gewusst, was er unterschreibe, folgte es nicht. Dabei berücksichtigte es, dass der Beschwerdeführer bzw. der von ihm gewählte Verteidiger im Rahmen einer verspätet erhobenen Berufung nichts dergleichen vorgebracht hatten. Weiter hielt es fest, es gehe weder aus den Akten noch den Vorbringen des Beschwerdeführers hervor, dass die amtliche Verteidigung im erstinstanzlichen Verfahren von sich aus den Kontakt zu ihm abgebrochen hätte. Die betreffenden Erwägungen des Bundesstrafgerichts stehen in Einklang mit der bundesgerichtlichen Rechtsprechung (vgl. etwa BGE 129 II 56 E. 6.2; Urteile 1C_381/2023 vom 11. August 2023 E. 1.2; 1A.135/2005 vom 22. August 2005 E. 3.2.2; je mit Hinweisen). Zudem lassen seine Sachverhaltsfeststellungen keine Willkür erkennen (vgl. Art. 97 Abs. 1 BGG ). Dasselbe gilt für die vom Beschwerdeführer beanstandeten Bedingungen in rumänischen Gefängnissen und den Zugang zu medizinischer Betreuung (vgl. dazu Urteil 1C_11/2024 vom 18. Januar 2024 E. 3 mit Hinweis).</w:t>
      </w:r>
    </w:p>
    <w:p>
      <w:r>
        <w:t>Vor diesem Hintergrund ist schliesslich nicht erkennbar, dass das Bundesstrafgericht elementare Verfahrensgrundsätze verletzt hätte, indem es die Gewährung der unentgeltlichen Rechtspflege wegen Aussichtslosigkeit verweigerte (vgl. Art. 39 Abs. 2 lit. b StBOG [SR 173.71] i.V.m. Art. 65 VwVG ).</w:t>
      </w:r>
    </w:p>
    <w:p>
      <w:r>
        <w:t>Inwiefern aus einem anderen Grund ein besonders bedeutender Fall gegeben wäre, legt der Beschwerdeführer nicht dar und ist auch nicht ersichtlich. Für das Bundesgericht besteht deshalb kein Anlass, die Sache an die Hand zu nehmen.</w:t>
      </w:r>
    </w:p>
    <w:p>
      <w:r>
        <w:rPr>
          <w:b/>
        </w:rPr>
        <w:t>E. 2</w:t>
      </w:r>
    </w:p>
    <w:p>
      <w:r>
        <w:t>Nach dem Ausgeführten ist auf die Beschwerde nicht einzutreten.</w:t>
      </w:r>
    </w:p>
    <w:p>
      <w:r>
        <w:t>Das Gesuch des Beschwerdeführers um unentgeltliche Rechtspflege kann wegen Aussichtslosigkeit nicht bewilligt werden ( Art. 64 BGG ). Unter den gegebenen Umständen erscheint es indessen gerechtfertigt, dem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