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1C_149/2019 vom 13. März 2019</w:t>
      </w:r>
    </w:p>
    <w:p>
      <w:r>
        <w:t>Bundesgericht, 2019-03-13, DE</w:t>
      </w:r>
    </w:p>
    <w:p>
      <w:r>
        <w:rPr>
          <w:b/>
        </w:rPr>
        <w:t xml:space="preserve">Quelle: </w:t>
      </w:r>
      <w:r>
        <w:t>https://mcp.opencaselaw.ch/entscheid/bger_1C_149_2019</w:t>
      </w:r>
    </w:p>
    <w:p>
      <w:r>
        <w:t>FR: TF 1C_149/2019 du 13 mars 2019</w:t>
      </w:r>
    </w:p>
    <w:p>
      <w:r>
        <w:t>IT: TF 1C_149/2019 del 13 marzo 2019</w:t>
      </w:r>
    </w:p>
    <w:p>
      <w:pPr>
        <w:pStyle w:val="Heading2"/>
      </w:pPr>
      <w:r>
        <w:t>Erwägungen</w:t>
      </w:r>
    </w:p>
    <w:p>
      <w:r>
        <w:rPr>
          <w:b/>
        </w:rPr>
        <w:t>E. 1</w:t>
      </w:r>
    </w:p>
    <w:p>
      <w:r>
        <w:t>A.________ erstattete am 5. Januar 2019 Anzeige gegen einen Polizisten der Stadtpolizei Winterthur wegen Amtsmissbrauchs. Die Anzeige steht im Zusammenhang mit der Ausfällung einer Ordnungsbusse von Fr. 100.-- durch den Angezeigten. Die Staatsanwaltschaft Winterthur/Unterland überwies mit Verfügung vom 25. Januar 2019 die Akten an die III. Strafkammer des Obergerichts des Kantons Zürich zum Entscheid über die Ermächtigung zur Eröffnung einer Strafuntersuchung. Die III. Strafkammer des Obergerichts des Kantons Zürich erteilte mit Beschluss vom 15. Februar 2019 der Staatsanwaltschaft die Ermächtigung zur Strafverfolgung nicht. Sie führte zur Begründung zusammenfassend aus, dass von einem Anfangsverdacht auf eine strafrechtlich relevante Handlung nicht ausgegangen werden könne.</w:t>
      </w:r>
    </w:p>
    <w:p>
      <w:r>
        <w:rPr>
          <w:b/>
        </w:rPr>
        <w:t>E. 2</w:t>
      </w:r>
    </w:p>
    <w:p>
      <w:r>
        <w:t>A.________ führt mit Eingabe vom 8. März 2019 (Postaufgabe 11. März 2019)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III. Strafkammer legte dar, weshalb sie die dem Angezeigten vorgeworfenen Verhaltensweisen nicht als strafrechtlich relevant beurteilte. Mit diesen Ausführungen setzt sich die Beschwerdeführerin nicht sachgerecht auseinander und vermag mit der Darstellung ihrer Sicht der Dinge nicht aufzuzeigen, inwiefern die Begründung der III. Strafkammer, die zur Verweigerung der Ermächtigung führte,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