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1C_148/2021 vom 24. März 2021</w:t>
      </w:r>
    </w:p>
    <w:p>
      <w:r>
        <w:t>Bundesgericht, 2021-03-24, FR</w:t>
      </w:r>
    </w:p>
    <w:p>
      <w:r>
        <w:rPr>
          <w:b/>
        </w:rPr>
        <w:t xml:space="preserve">Quelle: </w:t>
      </w:r>
      <w:r>
        <w:t>https://mcp.opencaselaw.ch/entscheid/bger_1C_148_2021</w:t>
      </w:r>
    </w:p>
    <w:p>
      <w:r>
        <w:t>FR: TF 1C_148/2021 du 24 mars 2021</w:t>
      </w:r>
    </w:p>
    <w:p>
      <w:r>
        <w:t>IT: TF 1C_148/2021 del 24 marzo 2021</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Tribunal pénal fédéral en matière d'entraide judiciaireinternationale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des faits à l'origine de la demande et de la nature de la transmission envisagée, portant sur la documentation relative à deux comptes bancaires déterminés, le cas ne revêt en soi aucune importance particulière.</w:t>
      </w:r>
    </w:p>
    <w:p>
      <w:r>
        <w:rPr>
          <w:b/>
        </w:rPr>
        <w:t>E. 1.3</w:t>
      </w:r>
    </w:p>
    <w:p>
      <w:r>
        <w:t>Les recourants estiment que la question de la compétence des autorités brésiliennes justifierait une entrée en matière. Le Ministère public de l'Etat de Paraná avait été dessaisi et celui de l'Etat de São Paulo avait repris la cause. Toutefois, le premier était incompétent pour requérir l'entraide à l'égard des recourants, et le second n'aurait pas démontré la validité de la délégation de compétence.</w:t>
      </w:r>
    </w:p>
    <w:p>
      <w:r>
        <w:t>La Cour des plaintes a relevé à cet égard que les recourants (l'un domicilié en Suisse et l'autre ayant son siège au Panama) n'avaient pas qualité pour se plaindre de tels vices de procédure dans l'Etat requérant, ce qui est conforme à la jurisprudence constante ( ATF 125 II 356 consid. 8b p. 365; 130 II 217 consid. 8.2 p. 227 s.; 129 II 268 consid. 6.1 p. 271 et les arrêts cités) et empêche les recourants de remettre en cause la compétence de l'autorité requérante (arrêt 1C_625/2019 du 5 décembre 2019 consid. 1.3). En outre, le Parquet de la République de São Paolo avait confirmé la reprise de la procédure et son intérêt à la transmission des renseignements requis. Dans la mesure où, de surcroît, la demande d'entraide a été transmise par l'intermédiaire du Ministère brésilien de la Justice (soit l'autorité désignée par le traité d'entraide judiciaire entre le Brésil et la Suisse du 12 mai 2004, RS 0.351.919.81, art. 23), il n'y a pas d'incompétence manifeste permettant d'admettre l'existence d'un abus caractérisé ( ATF 133 IV 140 consid. 4.2). La condition posée à l' art. 84 al. 2 LTF n'est dès lors pas réalisée sur ce point.</w:t>
      </w:r>
    </w:p>
    <w:p>
      <w:r>
        <w:rPr>
          <w:b/>
        </w:rPr>
        <w:t>E. 1.4</w:t>
      </w:r>
    </w:p>
    <w:p>
      <w:r>
        <w:t>Les recourants considèrent par ailleurs que la violation du principe de la proportionnalité justifierait également d'entrer en matière sur le recours. Il n'en est rien. La demande fait certes état d'une enquête dirigée contre C.________, mais elle relève également l'existence de mouvements de fonds entre les comptes détenus par le groupe dont celui-ci est bénéficiaire économique et les comptes des recourants. Le lien entre l'objet de l'enquête et les renseignements requis est dès lors suffisant au regard du principe d'utilité potentielle ( ATF 121 II 241 consid. 3c; en dernier lieu: ATF 139 II 404 consid. 7.2.2).</w:t>
      </w:r>
    </w:p>
    <w:p>
      <w:r>
        <w:rPr>
          <w:b/>
        </w:rPr>
        <w:t>E. 2</w:t>
      </w:r>
    </w:p>
    <w:p>
      <w:r>
        <w:t>Faute de porter sur un cas particulièrement important, le recours est irrecevable. Les recourants, qui succombent, supportent solidairement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