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1C_148/2019 vom 19. März 2019</w:t>
      </w:r>
    </w:p>
    <w:p>
      <w:r>
        <w:t>Bundesgericht, 2019-03-19, DE</w:t>
      </w:r>
    </w:p>
    <w:p>
      <w:r>
        <w:rPr>
          <w:b/>
        </w:rPr>
        <w:t xml:space="preserve">Quelle: </w:t>
      </w:r>
      <w:r>
        <w:t>https://mcp.opencaselaw.ch/entscheid/bger_1C_148_2019</w:t>
      </w:r>
    </w:p>
    <w:p>
      <w:r>
        <w:t>FR: TF 1C_148/2019 du 19 mars 2019</w:t>
      </w:r>
    </w:p>
    <w:p>
      <w:r>
        <w:t>IT: TF 1C_148/2019 del 19 marzo 2019</w:t>
      </w:r>
    </w:p>
    <w:p>
      <w:pPr>
        <w:pStyle w:val="Heading2"/>
      </w:pPr>
      <w:r>
        <w:t>Erwägungen</w:t>
      </w:r>
    </w:p>
    <w:p>
      <w:r>
        <w:rPr>
          <w:b/>
        </w:rPr>
        <w:t>E. 1</w:t>
      </w:r>
    </w:p>
    <w:p>
      <w:r>
        <w:t>Wie die folgenden Erwägungen zeigen, ist die Sache spruchreif. Der beantragte Beizug der Akten der Vorinstanz sowie des Rechtshilfeverfahrens erübrigt sich daher; dies umso mehr, als der Beschwerdeführer die Akten, auf die er seine Vorbringen stützt, dem Bundesgericht eingereicht hat (Beschwerdebeilagen 1-42).</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Bei der Beantwortung der Frage, ob ein besonders bedeutender Fall gegeben ist, steht dem Bundesgericht ein weiter Ermessensspielraum zu. Ein besonders bedeutender Fall kann nur ausnahmsweise angenommen werden (zur amtlichen Publikation bestimmtes Urteil 1C_393/2018 vom 14. Dezember 2018 E. 1.2 mit Hinweisen).</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die Übermittlung von Informationen aus dem Geheimbereich und damit ein Sachgebiet, bei dem die Beschwerde nach Art. 84 Abs. 1 BGG insoweit möglich ist. Entgegen der Auffassung des Beschwerdeführers handelt es sich jedoch um keinen besonders bedeutenden Fall.</w:t>
      </w:r>
    </w:p>
    <w:p>
      <w:r>
        <w:t>Die Vorinstanz erachtet die Voraussetzungen, unter denen die bundesgerichtliche Rechtsprechung den lediglich wirtschaftlich an einem Bankkonto Berechtigten ausnahmsweise zur Beschwerde zulässt, als nicht erfüllt. Dabei gibt sie die Rechtsprechung im Einzelnen zutreffend wieder. Auf diese zurückzukommen besteht kein Anlass. Die Vorinstanz verneint sodann die Beschwerdelegitimation in einlässlicher Würdigung der Vorbringen des Beschwerdeführers. Die Anwendung der von der Rechtsprechung entwickelten Grundsätze durch die Vorinstanz im zu beurteilenden Fall ist nicht zu beanstanden. Auf die Erwägungen im angefochtenen Entscheid kann gemäss Art. 109 Abs. 3 BGG verwiesen werden. Da die Vorinstanz die Beschwerdelegitimation verneinte, hatte sie sich inhaltlich zur Sache nicht zu äussern. Eine Verletzung elementarer Verfahrensgrundsätze kann der Vorinstanz nicht vorgeworfen werden. Rechtsfragen von grundsätzlicher Bedeutung stellen sich nicht. Inwiefern der Angelegenheit sonst wie eine aussergewöhnliche Tragweite zukommen könnte, legt der Beschwerdeführer nicht dar und ist nicht ersichtlich. Für das Bundesgericht besteht daher kein Grund, die Sache an die Hand zu nehmen.</w:t>
      </w:r>
    </w:p>
    <w:p>
      <w:r>
        <w:t>Die Beschwerde ist demnach unzulässig.</w:t>
      </w:r>
    </w:p>
    <w:p>
      <w:r>
        <w:rPr>
          <w:b/>
        </w:rPr>
        <w:t>E. 3</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