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1C_147/2025 vom 29. April 2025</w:t>
      </w:r>
    </w:p>
    <w:p>
      <w:r>
        <w:t>Bundesgericht, 2025-04-29, DE</w:t>
      </w:r>
    </w:p>
    <w:p>
      <w:r>
        <w:rPr>
          <w:b/>
        </w:rPr>
        <w:t xml:space="preserve">Quelle: </w:t>
      </w:r>
      <w:r>
        <w:t>https://mcp.opencaselaw.ch/entscheid/bger_1C_147_2025</w:t>
      </w:r>
    </w:p>
    <w:p>
      <w:r>
        <w:t>FR: TF 1C_147/2025 du 29 avril 2025</w:t>
      </w:r>
    </w:p>
    <w:p>
      <w:r>
        <w:t>IT: TF 1C_147/2025 del 29 aprile 2025</w:t>
      </w:r>
    </w:p>
    <w:p>
      <w:pPr>
        <w:pStyle w:val="Heading2"/>
      </w:pPr>
      <w:r>
        <w:t>Erwägungen</w:t>
      </w:r>
    </w:p>
    <w:p>
      <w:r>
        <w:rPr>
          <w:b/>
        </w:rPr>
        <w:t>E. 1</w:t>
      </w:r>
    </w:p>
    <w:p>
      <w:r>
        <w:t>Am 20. Januar 2025 verfügte das Strassenverkehrsamt des Kantons Luzern gegen A.________ erneut einen Sicherungsentzug des Führerausweises und eine Verweigerung der Erteilung des Führerausweises der Kategorie 121 auf unbestimmte Zeit. Dagegen erhob A.________ Verwaltungsgerichtsbeschwerde beim Kantonsgericht Luzern. Er ersuchte dabei um unentgeltliche Rechtspflege (inklusive unentgeltliche Rechtsverbeiständung). Mit Verfügung vom 10. März 2025 wies das Kantonsgericht das Gesuch ab.</w:t>
      </w:r>
    </w:p>
    <w:p>
      <w:r>
        <w:rPr>
          <w:b/>
        </w:rPr>
        <w:t>E. 2</w:t>
      </w:r>
    </w:p>
    <w:p>
      <w:r>
        <w:t>Mit Eingabe vom 14. März 2025 erhebt A.________ beim Bundesgericht sinngemäss Beschwerde gegen die Verfügung des Kantonsgerichts vom 10. März 2025.</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bringt in seiner Beschwerde an das Bundesgericht bloss vor, er sei mit dem angefochtenen Entscheid nicht einverstanden; dieser sei nicht korrekt und diskriminierend und bezwecke, dass er "alles abgebe" und die Schweiz verlasse. Mit den Erwägungen der Vorinstanz setzt er sich nicht auseinander. Er legt nicht und schon gar nicht konkret und im Einzelnen dar, inwiefern diese Recht im Sinne von Art. 42 Abs. 2 BGG verletzt haben soll, indem sie sein Gesuch um unentgeltliche Rechtspflege (inklusive unentgeltliche Rechtsverbeiständung) abgewiesen hat. Seine Beschwerde genügt den gesetzlichen Formerfordernissen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