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147/2020 vom 5. Oktober 2020</w:t>
      </w:r>
    </w:p>
    <w:p>
      <w:r>
        <w:t>Bundesgericht, 2020-10-05, FR</w:t>
      </w:r>
    </w:p>
    <w:p>
      <w:r>
        <w:rPr>
          <w:b/>
        </w:rPr>
        <w:t xml:space="preserve">Quelle: </w:t>
      </w:r>
      <w:r>
        <w:t>https://mcp.opencaselaw.ch/entscheid/bger_1C_147_2020</w:t>
      </w:r>
    </w:p>
    <w:p>
      <w:r>
        <w:t>FR: TF 1C 147/2020 du 5 octobre 2020</w:t>
      </w:r>
    </w:p>
    <w:p>
      <w:r>
        <w:t>IT: TF 1C 147/2020 del 5 ottobre 2020</w:t>
      </w:r>
    </w:p>
    <w:p>
      <w:pPr>
        <w:pStyle w:val="Heading2"/>
      </w:pPr>
      <w:r>
        <w:t>Regeste</w:t>
      </w:r>
    </w:p>
    <w:p>
      <w:r>
        <w:t>Initiative populaire communale Pour un développement cohérent et responsable des Grands Esserts | Droits politiques</w:t>
      </w:r>
    </w:p>
    <w:p>
      <w:pPr>
        <w:pStyle w:val="Heading2"/>
      </w:pPr>
      <w:r>
        <w:t>Erwägungen</w:t>
      </w:r>
    </w:p>
    <w:p>
      <w:r>
        <w:rPr>
          <w:b/>
        </w:rPr>
        <w:t>E. 1</w:t>
      </w:r>
    </w:p>
    <w:p>
      <w:r>
        <w:t>Le Tribunal fédéral examine d'office la recevabilité des recours qui lui sont soumis ( art. 29 al. 1 LTF ).</w:t>
      </w:r>
    </w:p>
    <w:p>
      <w:r>
        <w:rPr>
          <w:b/>
        </w:rPr>
        <w:t>E. 1.1</w:t>
      </w:r>
    </w:p>
    <w:p>
      <w:r>
        <w:t>Dirigé contre une décision d'irrecevabilité prise en dernière instance cantonale ( art. 86 al. 1 let . d LTF) dans le domaine des droits politiques, le recours est en principe recevable comme recours en matière de droit public qui concerne le droit de vote des citoyens ainsi que les élections et votations populaires ( art. 82 let . c LTF).</w:t>
      </w:r>
    </w:p>
    <w:p>
      <w:r>
        <w:rPr>
          <w:b/>
        </w:rPr>
        <w:t>E. 1.2.1</w:t>
      </w:r>
    </w:p>
    <w:p>
      <w:r>
        <w:t>Selon l' art. 89 al. 3 LTF , en matière de droits politiques, quiconque a le droit de vote dans l'affaire en cause a qualité pour recourir. La qualité pour recourir au sens de l' art. 89 al. 1 et 3 LTF suppose encore que la partie recourante ait un intérêt actuel digne de protection à l'annulation ou à la modification de la décision entreprise. Cet intérêt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suffisamment important à résoudre la question litigieuse ( ATF 142 I 135 consid. 1.3.1 p. 143 et la jurisprudence citée). Si l'intérêt actuel disparaît en cours de procédure, le recours devient sans objet, alors qu'il est irrecevable si l'intérêt actuel faisait déjà défaut au moment du dépôt du recours ( ATF 142 I 135 consid. 1.3.1 p. 143 et la jurisprudence citée). De cette manière, les tribunaux sont assurés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w:t>
      </w:r>
    </w:p>
    <w:p>
      <w:r>
        <w:rPr>
          <w:b/>
        </w:rPr>
        <w:t>E. 1.2.2</w:t>
      </w:r>
    </w:p>
    <w:p>
      <w:r>
        <w:t>En l'espèce, l'intérêt des recourants est d'obtenir la concrétisation de l'initiative municipale litigieuse, laquelle tend à avoir un seul et unique PLQ pour l'ensemble du périmètre des Grands Esserts concernant les deux pièces urbaines "Maison de Vessy" et "Beaux-Champs". Or l'entier du périmètre concerné fait déjà l'objet de deux PLQ distincts, le PLQ "Maison de Vessy" adopté par le Conseil d'Etat le 27 avril 2016 et entré en force le 18 juillet 2019 ainsi que le PLQ "Beaux-Champs" adopté le 17 avril 2016 par le Conseil d'Etat - qui fait l'objet actuellement d'un recours devant la Cour de justice. L'objectif de l'initiative en question qui est d'obtenir un PLQ unique pour ce secteur est ainsi devenu impossible depuis l'adoption définitive du PLQ "Maison de Vessy", celui-ci ne pouvant plus être modifié afin de respecter le principe de la stabilité des plans découlant du droit fédéral (cf. art. 21 al. 2 LAT ). Le principe de la stabilité des plans est un aspect du principe de la sécurité du droit, qui doit permettre aux propriétaires fonciers, comme aux autorités chargées de mettre en oeuvre la planification, de compter sur la pérennité des plans d'affectation ( ATF 128 I 190 consid. 4.2 p. 198). Ceux-ci doivent toutefois être révisés lorsque les circonstances déterminantes se sont modifiées depuis leur adoption ( art. 21 al. 2 LAT ). Pour apprécier l'évolution des circonstances et la nécessité d'adapter un plan d'affectation, une pesée des intérêts s'impose. Sont en particulier à prendre en considération, le temps écoulé depuis l'entrée en vigueur du plan, la mesure dans laquelle celui-ci a été concrétisé, l'importance des motifs de révision, l'étendue de la modification envisagée et l'intérêt public qu'elle poursuit ( ATF 140 II 25 consid. 3.1; 128 I 190 consid. 4.2 et les références; arrêt 1C_656/2018 du 4 mars 2020 consid. 6.1.1). Plus le plan est récent, plus on peut compter sur sa stabilité, laquelle doit être assurée en principe pour quinze ans au moins ( art. 15 al. 1 et 4 let. b LAT ; ATF 119 Ib 138 consid. 4e p. 145). Lorsque le plan litigieux est en vigueur depuis quelques années seulement, il y a lieu de démontrer que les besoins pour les quinze années suivant son adoption ont été mal ou sous-estimés et que, sur les autres points déterminants, les circonstances se sont sensiblement modifiées ( ATF 128 I 190 consid. 4.2 p. 199; 120 Ia 227 consid. 2c p. 233). C'est seulement dans des circonstances exceptionnelles qu'un plan récent d'une année et demie pourrait être amené à subir, par la voie de l'initiative populaire, une modification sous la forme d'un déclassement (arrêt 1P.489/2001 du 4 décembre 2001). Lorsque le droit cantonal permet à des tiers, par le biais de l'initiative législative, de requérir une modification de la planification, cela ne saurait toutefois affaiblir la présomption de validité et de stabilité du plan d'affectation, car ces principes découlent du droit fédéral ( ATF 128 I 190 consid. 4.4 p. 201; 120 Ia 227 consid. 2c in fine p. 233 et consid. 2e p. 234). Un changement d'avis de la population ou une modification du rapport de forces politique ne constituent pas une modification sensible des circonstances au sens de l' art. 21 al. 2 LAT , lorsque le plan est récent ( ATF 128 I 190 consid. 4.4 p. 201; 111 II 326 consid. 1a/cc p. 327; 109 Ia 113 consid. 3 p. 114; cf. THIERRY TANQUEREL, Commentaire pratique LAT: planifier l'affectation, 2016, n. 49 ad art. 21 LAT et les références citées; ANDREAS HOHL, Probleme des Initiativrechts auf dem Gebiet des Baurechts und der Raumplanung, thèse Zurich 1989, p. 29 et 89). Or le PLQ "Maison de Vessy" du 27 avril 2016 n'a que quatre ans de validité et est entré en force le 18 juillet 2019, de sorte qu'il s'agit d'un plan récent dont la stabilité doit être assurée en principe pour quinze ans au moins. Par conséquent, l'admission éventuelle du présent recours ne pourrait conduire à la concrétisation de l'initiative litigieuse puisque celle-ci a perdu son objet le 18 juillet 2019. Les recourants n'ont donc aucun intérêt juridique actuel à obtenir l'annulation de l'arrêt attaqué; l'admission de leur recours ne leur procurerait aucun avantage de droit matériel.</w:t>
      </w:r>
    </w:p>
    <w:p>
      <w:r>
        <w:rPr>
          <w:b/>
        </w:rPr>
        <w:t>E. 1.2.3</w:t>
      </w:r>
    </w:p>
    <w:p>
      <w:r>
        <w:t>Les recourants se prévalent enfin du passage suivant de l'arrêt du 30 août 2017 rendu par la Cour de justice dans la présente cause: "le lancement, le traitement et l'acceptation de l'initiative n'ont à juste titre pas été considérés comme contraires au droit du fait que la procédure d'adoption du PLQ [Maison de Vessy] était en cours et a abouti à l'adoption de ce dernier. Ladite initiative doit le cas échéant être comprise comme visant à la modification ou même à l'abrogation dudit PLQ, sans que ne puisse, à ce stade, être discerné un abus manifeste du droit d'initiative populaire municipale". Les recourants estiment que cet arrêt a tranché de façon impérative le débat juridique sur l'exécutabilité de l'initiative et l'intérêt actuel au recours. Les recourants perdent cependant de vue que lorsque cet arrêt a été rendu, le 30 août 2017, le PLQ "Maison de Vessy" n'était pas définitivement entré en force. La situation est différente aujourd'hui, et ce depuis le 18 juillet 2019, date de l'entrée en force du PLQ "Maison de Vessy". Dans ces conditions, les recourants ne sauraient déduire de l'arrêt cantonal précité des arguments à l'appui de leur position.</w:t>
      </w:r>
    </w:p>
    <w:p>
      <w:r>
        <w:rPr>
          <w:b/>
        </w:rPr>
        <w:t>E. 2</w:t>
      </w:r>
    </w:p>
    <w:p>
      <w:r>
        <w:t>Le recours est par conséquent déclaré irrecevable faute d'intérêt actuel, aux frais des recourants qui succombent ( art. 66 al. 1 LTF ). Il n'est pas alloué de dépens à la commune intimée qui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