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1C_146/2015 vom 7. September 2015</w:t>
      </w:r>
    </w:p>
    <w:p>
      <w:r>
        <w:t>Bundesgericht, 2015-09-07, FR</w:t>
      </w:r>
    </w:p>
    <w:p>
      <w:r>
        <w:rPr>
          <w:b/>
        </w:rPr>
        <w:t xml:space="preserve">Quelle: </w:t>
      </w:r>
      <w:r>
        <w:t>https://mcp.opencaselaw.ch/entscheid/bger_1C_146_2015</w:t>
      </w:r>
    </w:p>
    <w:p>
      <w:r>
        <w:t>FR: TF 1C_146/2015 du 7 septembre 2015</w:t>
      </w:r>
    </w:p>
    <w:p>
      <w:r>
        <w:t>IT: TF 1C_146/2015 del 7 settembre 2015</w:t>
      </w:r>
    </w:p>
    <w:p>
      <w:pPr>
        <w:pStyle w:val="Heading2"/>
      </w:pPr>
      <w:r>
        <w:t>Erwägungen</w:t>
      </w:r>
    </w:p>
    <w:p>
      <w:r>
        <w:rPr>
          <w:b/>
        </w:rPr>
        <w:t>E. 1</w:t>
      </w:r>
    </w:p>
    <w:p>
      <w:r>
        <w:t>La voie du recours en matière de droit public, au sens des art. 82 ss LTF , est en principe ouverte contre une décision prise en dernière instance cantonale ( art. 86 al. 1 let . d LTF) au sujet d'une mesure administrative de retrait du permis de conduire ( art. 82 let. a LTF ), aucune des exceptions mentionnées à l' art. 83 LTF n'étant réalisée. Le recourant est particulièrement atteint par la décision attaquée, qui confirme le retrait de son permis de conduire pour une durée indéterminée; il a un intérêt digne de protection à son annulation. Il a donc qualité pour recourir au sens de l' art. 89 al. 1 LTF . Les autres conditions de recevabilité du recours sont au surplus réunies, de sorte qu'il convient d'entrer en matière.</w:t>
      </w:r>
    </w:p>
    <w:p>
      <w:r>
        <w:rPr>
          <w:b/>
        </w:rPr>
        <w:t>E. 2</w:t>
      </w:r>
    </w:p>
    <w:p>
      <w:r>
        <w:t>De façon générale, le recourant reproche au Tribunal cantonal de s'être écarté du jugement rendu par le Tribunal de police en retenant à son encontre - sur le plan administratif - la commission d'une infraction grave au sens de l'art. 16c de la loi fédérale sur la circulation routière du 19 décembre 1958 (LCR; RS 741.01).</w:t>
      </w:r>
    </w:p>
    <w:p>
      <w:r>
        <w:rPr>
          <w:b/>
        </w:rPr>
        <w:t>E. 2.1</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137 I 363 consid. 2.3.2 p. 368 et les références).</w:t>
      </w:r>
    </w:p>
    <w:p>
      <w:r>
        <w:t>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 3.2 p. 101 et les arrêts cités). Si les faits retenus au pénal lient donc en principe l'autorité et le juge administratifs, il en va différemment des questions de droit, en particulier de l'appréciation de la faute et de la mise en danger (arrêt 1C_353/2010 du 12 janvier 2011 consid. 2.1 et les références; 1C_274/2010 du 7 octobre 2010 consid. 2.1).</w:t>
      </w:r>
    </w:p>
    <w:p>
      <w:r>
        <w:rPr>
          <w:b/>
        </w:rPr>
        <w:t>E. 2.2</w:t>
      </w:r>
    </w:p>
    <w:p>
      <w:r>
        <w:t>En l'espèce, le Tribunal de police a déclaré le recourant coupable de violation simple des règles de la circulation au sens de l'ancien art. 90 ch. 1 LCR (dont la portée matérielle est demeurée identique en dépit de la révision du 15 juin 2012, entrée en vigueur le 1</w:t>
      </w:r>
    </w:p>
    <w:p>
      <w:r>
        <w:t>er janvier 2013, cf. Message du Conseil fédéral du 20 octobre 2010 concernant Via sicura, le programme d'action de la Confédération visant à renforcer la sécurité routière in FF 2010 7703 p. 7769</w:t>
      </w:r>
    </w:p>
    <w:p>
      <w:r>
        <w:t>i.i ) et l'a condamné à une amende de 800 francs ainsi qu'à un traitement psychiatrique et psychothérapeutique intégré. L'autorité pénale a rendu cette décision sous la forme d'un dispositif, de sorte que l'on ignore - comme le reconnaît d'ailleurs le recourant - les motifs exacts ayant présidé aux conclusions du juge pénal. Le recourant estime néanmoins qu'en ne le condamnant que sur la base de l'art. 90 ch. 1 aLCR, le Tribunal de police n'aurait nécessairement retenu qu'une partie des faits dénoncés par les forces de police, ce qui devait conduire l'autorité administrative à exclure la réalisation d'une infraction grave au sens de l' art. 16c LCR .</w:t>
      </w:r>
    </w:p>
    <w:p>
      <w:r>
        <w:t>Cette argumentation est fondée sur de pures conjectures et ne saurait être suivie. En effet, le jugement pénal versé au dossier ne permet pas de déduire que le Tribunal de police se serait écarté des faits établis dans le rapport de dénonciation. Si le recourant estimait le contraire, en particulier s'il entendait, dans le cadre de la procédure de retrait du permis de conduire, se prévaloir d'éléments ne ressortant pas directement du dossier, mais prétendument retenus (ou écartés) par l'autorité pénale, il lui incombait de requérir, en vertu du devoir de collaboration des parties, valable en procédure administrative, la motivation du jugement (cf. ATF 128 II 139 chapeau et consid. 2c p. 143; BUSSY/ RUSCONI/JEANNERET/KUHN/MIZEL/MÜLLER, Code de la circulation routière commenté, 2015, n. 3.9.1 ad intro. art. 16 ss LCR ; en droit vaudois l'art. 30 de la loi sur la procédure administrative du 28 octobre 2008 [LPA; RSV 173.36] impose ce devoir aux parties malgré la maxime inquisitoire applicable à la procédure administrative [ art. 28 al. 1 LPA ]). Le recourant ayant renoncé à cette démarche, aucun élément concret ne commandait en l'espèce à l'autorité administrative de ne pas s'en tenir aux faits tels qu'ils ressortent des pièces versées au dossier, en particulier du rapport de police et des constatations médicales du CURML.</w:t>
      </w:r>
    </w:p>
    <w:p>
      <w:r>
        <w:t>De même, le recourant se méprend lorsqu'il affirme que les autorités administratives devaient impérativement suivre l'appréciation juridique du Tribunal de police dès lors que ce dernier a rendu sa décision au terme d'une audience au cours de laquelle il a entendu le prévenu. En effet, le juge administratif n'est en principe pas lié par le jugement pénal s'agissant des questions de droit (cf. arrêts 1C_353/2010 et 1C_274/2010 précités). Cette indépendance se manifeste d'autant plus lorsque, comme en l'espèce, on ignore les motifs ayant conduit à la décision pénale, faute pour le recourant d'en avoir requis la motivation; on ne peut en effet pas mécaniquement exclure - comme le soutient le recourant - le prononcé d'une mesure administrative pour infraction grave selon l' art. 16c al. 1 let. a LCR du seul fait de l'existence d'une condamnation pénale pour infraction simple selon l'art. 90 ch. 1 aLCR (cf. à ce propos CÉDRIC MIZEL, Droit et pratique illustrée du retrait du permis de conduire, 2015, p. 689 s. et les références citées à la nbp 3372). Dans ces circonstances, et au regard de la gravité des faits pour lesquels le recourant a été dénoncé, faits sur lesquels - on l'a vu - les autorités administratives pouvaient se fonder, on ne saurait leur reprocher d'avoir procédé à leur propre appréciation de la situation, en particulier s'agissant de la qualification de la faute et de la mise en danger (cf. consid. 3.2 ss ci-dessous).</w:t>
      </w:r>
    </w:p>
    <w:p>
      <w:r>
        <w:t>Ce grief est dès lors infondé et doit être rejeté.</w:t>
      </w:r>
    </w:p>
    <w:p>
      <w:r>
        <w:rPr>
          <w:b/>
        </w:rPr>
        <w:t>E. 3</w:t>
      </w:r>
    </w:p>
    <w:p>
      <w:r>
        <w:t>Pour le surplus, le recourant - s'écartant de l'obligation prévue à l' art. 42 al. 1 et 2 LTF - ne formule aucune critique à l'encontre de l'appréciation de la cour cantonale sur la réalisation et la qualification de l'infraction ni contre la mesure prononcée à son encontre. Quoi qu'il en soit, l'arrêt attaqué apparaît complet et convaincant à ce sujet.</w:t>
      </w:r>
    </w:p>
    <w:p>
      <w:r>
        <w:t>En effet, l'instance précédente a minutieusement examiné les conditions objectives et subjectives de l'infraction. Elle a retenu, se fondant sur l'expertise du CURML, qui confirme la faculté du recourant d'apprécier le caractère illicite de ses actes et la faible réduction de sa responsabilité, que celui-ci a à tout le moins agi par dol éventuel, ce qui n'apparaît pas critiquable. Son appréciation portant sur le caractère grave de la faute et de la mise en danger est également conforme au droit fédéral; la cour cantonale a dans ce cadre correctement exposé les dispositions applicables ainsi que la jurisprudence y relative. Enfin, compte tenu des antécédents du recourant, c'est à juste titre que le Tribunal cantonal a fait application de l' art. 16c al. 2 let . d LCR pour confirmer la mesure de retrait du permis de conduire pour une durée illimitée, mais pour deux ans au moins, prononcée par le SAN. Il peut, s'agissant de l'ensemble de ces questions, être renvoyé aux considérants pertinents de l'arrêt attaqué (cf. art. 109 al. 3 LTF ).</w:t>
      </w:r>
    </w:p>
    <w:p>
      <w:r>
        <w:rPr>
          <w:b/>
        </w:rPr>
        <w:t>E. 4</w:t>
      </w:r>
    </w:p>
    <w:p>
      <w:r>
        <w:t>Sur le vu de ce qui précède, le recours apparaît entièrement mal fondé et doit être rejeté,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