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1C_145/2022 vom 6. April 2023</w:t>
      </w:r>
    </w:p>
    <w:p>
      <w:r>
        <w:t>Bundesgericht, 2023-04-06, DE</w:t>
      </w:r>
    </w:p>
    <w:p>
      <w:r>
        <w:rPr>
          <w:b/>
        </w:rPr>
        <w:t xml:space="preserve">Quelle: </w:t>
      </w:r>
      <w:r>
        <w:t>https://mcp.opencaselaw.ch/entscheid/bger_1C_145_2022</w:t>
      </w:r>
    </w:p>
    <w:p>
      <w:r>
        <w:t>FR: TF 1C_145/2022 du 6 avril 2023</w:t>
      </w:r>
    </w:p>
    <w:p>
      <w:r>
        <w:t>IT: TF 1C_145/2022 del 6 aprile 2023</w:t>
      </w:r>
    </w:p>
    <w:p>
      <w:pPr>
        <w:pStyle w:val="Heading2"/>
      </w:pPr>
      <w:r>
        <w:t>Erwägungen</w:t>
      </w:r>
    </w:p>
    <w:p>
      <w:r>
        <w:rPr>
          <w:b/>
        </w:rPr>
        <w:t>E. 1.1</w:t>
      </w:r>
    </w:p>
    <w:p>
      <w:r>
        <w:t>Angefochten ist ein kantonal letztinstanzlicher Endentscheid in einer öffentlich-rechtlichen Angelegenheit ( Art. 82 lit. a, Art. 86 Abs. 1 lit. d und Art. 90 BGG ). Die Beschwerdefrist von 30 Tagen gemäss Art. 100 Abs. 1 BGG wurde eingehalten.</w:t>
      </w:r>
    </w:p>
    <w:p>
      <w:r>
        <w:rPr>
          <w:b/>
        </w:rPr>
        <w:t>E. 1.2</w:t>
      </w:r>
    </w:p>
    <w:p>
      <w:r>
        <w:t>Zur Beschwerde in öffentlich-rechtlichen Angelegenheiten an das Bundesgericht ist nach Art. 89 Abs. 1 BGG berechtigt, wer vor der Vorinstanz am Verfahren teilgenommen hat oder keine Möglichkeit zur Teilnahme erhalten hat (lit. a), durch den angefochtenen Entscheid besonders berührt ist (lit. b) und ein schutzwürdiges Interesse an dessen Aufhebung oder Änderung hat (lit. c). Ist die beschwerdeführende Person nicht Verfügungsadressatin, muss sie durch den angefochtenen Entscheid stärker betroffen sein als eine beliebige Drittperson und in einer besonderen, beachtenswerten, nahen Beziehung zur Streitsache stehen. Zudem muss sie einen eigenen, praktischen Nutzen aus einer allfälligen Aufhebung oder Änderung des angefochtenen Entscheids ziehen, das heisst, ihre Situation muss durch den Ausgang des Verfahrens in relevanter Weise beeinflusst werden können. Das schutzwürdige Interesse besteht in der Vermeidung eines unmittelbaren materiellen oder ideellen Nachteils, den der angefochtene Entscheid für sie mit sich bringen würde. Ein bloss mittelbares oder ausschliesslich allgemeines öffentliches Interesse genügt nicht (zum Ganzen: BGE 142 II 451 E. 3.4.1 mit Hinweisen). Nach Art. 42 Abs. 1 BGG muss eine beschwerdeführende Person die Tatsachen darlegen, aus denen sich ihre Beschwerdeberechtigung ergibt, sofern diese nicht offensichtlich gegeben ist ( BGE 141 IV 289 E. 1.3 mit Hinweisen).</w:t>
      </w:r>
    </w:p>
    <w:p>
      <w:r>
        <w:rPr>
          <w:b/>
        </w:rPr>
        <w:t>E. 1.3</w:t>
      </w:r>
    </w:p>
    <w:p>
      <w:r>
        <w:t>Nach der bundesgerichtlichen Rechtsprechung sind Nachbarn zur Beschwerdeführung gegen ein Bauvorhaben in der Regel insbesondere dann legitimiert, wenn sie mit Sicherheit oder zumindest grosser Wahrscheinlichkeit durch Immissionen (Lärm, Staub, Erschütterungen, Licht oder andere Einwirkungen) betroffen werden, die der Bau oder Betrieb der fraglichen Anlage hervorruft ( BGE 136 II 281 E. 2.3.1 mit Hinweisen). Als wichtiges Kriterium zur Beurteilung der Betroffenheit dient in der Praxis die räumliche Distanz zum Bauvorhaben bzw. zur Anlage. Die Rechtsprechung bejaht in der Regel die Legitimation von Nachbarn, deren Liegenschaften sich in einem Umkreis von bis zu rund 100 m befinden. Bei grösseren Entfernungen muss eine Beeinträchtigung aufgrund der konkreten Gegebenheiten glaubhaft gemacht werden. Allerdings darf nicht schematisch auf einzelne Kriterien (insbesondere Distanzwerte) abgestellt werden, sondern ist eine Gesamtwürdigung anhand der konkreten Verhältnisse erforderlich ( BGE 140 II 214 E. 2.3; Urteil 1C_204/2016 vom 19. August 2016 E. 2.4; je mit Hinweisen).</w:t>
      </w:r>
    </w:p>
    <w:p>
      <w:r>
        <w:rPr>
          <w:b/>
        </w:rPr>
        <w:t>E. 1.4</w:t>
      </w:r>
    </w:p>
    <w:p>
      <w:r>
        <w:t>Unter den dargelegten Voraussetzungen steht das Beschwerderecht nicht nur Grundeigentümerinnen und -eigentümern, sondern auch der Mieterschaft zu ( BGE 131 III 414 E. 2.3; Urteile 1C_66/2021 vom 6. Juli 2021 E. 2.3; 1C_283/2016 vom 11. Januar 2017 E. 1.2; je mit Hinweisen). Im Urteil 1C_572/2011 vom 3. April 2012 bejahte das Bundesgericht beispielsweise die Legitimation von Mietern eines Gebäudes, auf dessen Gartenfläche acht Parkplätze errichtet werden sollten (a.a.O., E. 1.2). Im vorliegenden Fall geht es dagegen lediglich um die Inanspruchnahme von 15 m2, damit die Innenlinie einer Strassenkurve leicht abgerundet werden kann. Ob damit wie im soeben erwähnten Urteil eine Zunahme von Immissionen verbunden ist, ist keineswegs offensichtlich. Der Beschwerdeführer behauptet nicht, dass wegen der Vergrösserung der Strassenfläche eine Verkehrszunahme zu erwarten sei. Eine bessere Befahrbarkeit der Kurve für Lastwagen (Kehrichtabfuhr, Feuerwehr) scheint vielmehr geeignet, das Manövrieren zu erleichtern und damit den Fahrzeuglärm zu reduzieren. Jedenfalls wäre es nach dem Ausgeführten am Beschwerdeführer gewesen darzulegen, dass er in dieser Hinsicht durch den angefochtenen Entscheid beschwert ist. Dies tut er jedoch nicht. Auch legt er nicht dar, als Mieter in der Benutzung des Gartens oder in anderer Weise eingeschränkt zu werden. In welchem Teil des Gebäudes auf der betroffenen Parzelle die von ihm gemietete Wohnung liegt, geht aus seiner Beschwerde nicht hervor.</w:t>
      </w:r>
    </w:p>
    <w:p>
      <w:r>
        <w:rPr>
          <w:b/>
        </w:rPr>
        <w:t>E. 1.5</w:t>
      </w:r>
    </w:p>
    <w:p>
      <w:r>
        <w:t>Zusammenfassend ist festzuhalten, dass die Beschwerdeberechtigung nicht offensichtlich ist und der Beschwerdeführer es entgegen der ihn unter diesen Umständen treffenden Obliegenheit unterlassen hat, die seine Beschwerdeberechtigung begründenden Tatsachen darzulegen.</w:t>
      </w:r>
    </w:p>
    <w:p>
      <w:r>
        <w:rPr>
          <w:b/>
        </w:rPr>
        <w:t>E. 1.6</w:t>
      </w:r>
    </w:p>
    <w:p>
      <w:r>
        <w:t>Auch wenn das Beschwerderecht in der Sache selbst nicht erstellt ist, kann der Beschwerdeführer vor Bundesgericht geltend machen, im kantonalen Verfahren in seinen Parteirechten verletzt worden zu sein (sog. "Star-Praxis"). Allerdings kann auf diesem Weg keine indirekte Überprüfung des Entscheids in der Sache erlangt werden ( BGE 141 IV 1 E. 1.1 mit Hinweisen). Eine hinreichend substanziierte Rüge, die diese Voraussetzung erfüllt, ist der Beschwerde jedoch nicht zu entnehmen.</w:t>
      </w:r>
    </w:p>
    <w:p>
      <w:r>
        <w:rPr>
          <w:b/>
        </w:rPr>
        <w:t>E. 2</w:t>
      </w:r>
    </w:p>
    <w:p>
      <w:r>
        <w:t>Auf die Beschwerde ist aus diesen Erwägungen nicht einzutreten.</w:t>
      </w:r>
    </w:p>
    <w:p>
      <w:r>
        <w:t>Dem in der Beschwerdeschrift gestellten Gesuch um unentgeltliche Prozessführung kann entsprochen werden. Es sind somit keine Gerichtskosten zu erheben ( Art. 64 Abs. 1 BGG ). Abzulehnen ist dagegen das erst mit Schreiben vom 6. April 2022 gestellte Gesuch um Bestellung eines Anwalts, zumal der Beschwerdeführer seine Beschwerde bereits ohne anwaltlichen Beistand verfasst hatte und die Beschwerdefrist bereits abgelaufen war ( Art. 64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