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1C_145/2012 vom 9. März 2012</w:t>
      </w:r>
    </w:p>
    <w:p>
      <w:r>
        <w:t>Bundesgericht, 2012-03-09, DE</w:t>
      </w:r>
    </w:p>
    <w:p>
      <w:r>
        <w:rPr>
          <w:b/>
        </w:rPr>
        <w:t xml:space="preserve">Quelle: </w:t>
      </w:r>
      <w:r>
        <w:t>https://mcp.opencaselaw.ch/entscheid/bger_1C_145_2012</w:t>
      </w:r>
    </w:p>
    <w:p>
      <w:r>
        <w:t>FR: TF 1C_145/2012 du 9 mars 2012</w:t>
      </w:r>
    </w:p>
    <w:p>
      <w:r>
        <w:t>IT: TF 1C_145/2012 del 9 marzo 2012</w:t>
      </w:r>
    </w:p>
    <w:p>
      <w:pPr>
        <w:pStyle w:val="Heading2"/>
      </w:pPr>
      <w:r>
        <w:t>Erwägungen</w:t>
      </w:r>
    </w:p>
    <w:p>
      <w:r>
        <w:rPr>
          <w:b/>
        </w:rPr>
        <w:t>E. 1</w:t>
      </w:r>
    </w:p>
    <w:p>
      <w:r>
        <w:t>Der angefochtene Entscheid betrifft eine Baubewilligung und damit eine öffentlich-rechtliche Angelegenheit im Sinne von Art. 82 lit. a BGG . Es liegen keine Ausschlussgründe nach Art. 83 ff. BGG vor.</w:t>
      </w:r>
    </w:p>
    <w:p>
      <w:r>
        <w:rPr>
          <w:b/>
        </w:rPr>
        <w:t>E. 2</w:t>
      </w:r>
    </w:p>
    <w:p>
      <w:r>
        <w:t>Mit dem angefochtenen Entscheid wird der Nichteintretensentscheid des Departements des Innern aufgehoben und dieses angewiesen, dem Beschwerdeführer eine angemessene Nachfrist zur Rekursergänzung anzusetzen. Mit diesem Entscheid wird das Verfahren nicht abgeschlossen. Es liegt somit kein Endentscheid im Sinne von Art. 90 BGG , sondern ein Zwischenentscheid ( Art. 93 BGG ) vor.</w:t>
      </w:r>
    </w:p>
    <w:p>
      <w:r>
        <w:rPr>
          <w:b/>
        </w:rPr>
        <w:t>E. 2.1</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BGE 133 IV 288 E. 3.2). Dementsprechend obliegt es den Beschwerdeführern, detailliert darzutun, dass die Eintretensvoraussetzungen von Art. 93 BGG erfüllt sind, soweit deren Vorliegen nicht offensichtlich ist (vgl. dazu BGE 134 III 426 E. 1.2 in fine; 133 III 629 E. 2.3.1 und 2.4.2).</w:t>
      </w:r>
    </w:p>
    <w:p>
      <w:r>
        <w:rPr>
          <w:b/>
        </w:rPr>
        <w:t>E. 2.2</w:t>
      </w:r>
    </w:p>
    <w:p>
      <w:r>
        <w:t>Die Beschwerdeführerin setzt sich mit den Voraussetzungen von Art. 93 BGG nicht auseinander und zeigt nicht auf, inwiefern die gesetzlichen Voraussetzungen für die Anfechtung des Zwischenentscheids gegeben sind. Deren Vorliegen ist auch nicht offensichtlich, weshalb auf die Beschwerde nicht eingetreten werden kann. Die Beschwerdeführerin kommt ihrer Begründungsobliegenheit im Sinne von Art. 42 Abs. 2 BGG offensichtlich nicht nach. Aus diesem Grund kann auf die Beschwerde im vereinfachten Verfahren nach Art. 108 Abs. 1 lit. b BGG nicht eingetreten werden. Bei diesem Ergebnis kann offenbleiben, ob die Beschwerde die weiteren Eintretensvoraussetzungen erfüllt.</w:t>
      </w:r>
    </w:p>
    <w:p>
      <w:r>
        <w:rPr>
          <w:b/>
        </w:rPr>
        <w:t>E. 2.3</w:t>
      </w:r>
    </w:p>
    <w:p>
      <w:r>
        <w:t>Bei dieser Rechtslage ist der Instruktionsrichter am Bundesgericht nicht zuständig, die beantragten vorsorglichen Massnahmen im Sinne von Art. 104 BGG zu treffen. Ein Gesuch um vorsorgliche Massnahmen ist bei dem nach dem angefochtenen Entscheid mit der Sache befassten Departement des Innern einzureichen.</w:t>
      </w:r>
    </w:p>
    <w:p>
      <w:r>
        <w:rPr>
          <w:b/>
        </w:rPr>
        <w:t>E. 3</w:t>
      </w:r>
    </w:p>
    <w:p>
      <w:r>
        <w:t>Die Gerichtskosten sind der unterliegenden Beschwerdeführerin aufzuerlegen ( Art. 66 Abs. 1 BGG ). Dem Beschwerdegegner und den beteiligten Behörden sind im bundesgerichtlichen Verfahren keine Kosten entstanden. Es sind somit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