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1C_143/2023 vom 23. März 2023</w:t>
      </w:r>
    </w:p>
    <w:p>
      <w:r>
        <w:t>Bundesgericht, 2023-03-23, DE</w:t>
      </w:r>
    </w:p>
    <w:p>
      <w:r>
        <w:rPr>
          <w:b/>
        </w:rPr>
        <w:t xml:space="preserve">Quelle: </w:t>
      </w:r>
      <w:r>
        <w:t>https://mcp.opencaselaw.ch/entscheid/bger_1C_143_2023</w:t>
      </w:r>
    </w:p>
    <w:p>
      <w:r>
        <w:t>FR: TF 1C_143/2023 du 23 mars 2023</w:t>
      </w:r>
    </w:p>
    <w:p>
      <w:r>
        <w:t>IT: TF 1C_143/2023 del 23 marzo 2023</w:t>
      </w:r>
    </w:p>
    <w:p>
      <w:pPr>
        <w:pStyle w:val="Heading2"/>
      </w:pPr>
      <w:r>
        <w:t>Erwägungen</w:t>
      </w:r>
    </w:p>
    <w:p>
      <w:r>
        <w:rPr>
          <w:b/>
        </w:rPr>
        <w:t>E. 1</w:t>
      </w:r>
    </w:p>
    <w:p>
      <w:r>
        <w:t>A.________ reichte am 18. Februar 2023 beim Verwaltungsgericht des Kantons Schwyz eine Eingabe mit dem Betreff "Anzeige/Beschwerde Antrag auf Untersuchung/Akteneinsicht und Revisionen" ein. Das Verwaltungsgericht des Kantons Schwyz trat mit Entscheid vom 21. Februar 2023 auf die Eingabe nicht ein. Zur Begründung führte es zusammenfassend aus, dass A.________ keine anfechtbare Verfügung bezeichne. Im Weiteren sei das Verwaltungsgericht nicht zur Entgegennahme bzw. Beurteilung von Strafanzeigen zuständig und die Aufsichtsfunktion des Verwaltungsgerichts beschränke sich auf die Schätzungskommission. Infolge offensichtlicher Unzulässigkeit des Rechtsmittels und mangels Zuständigkeit sei auf die Eingabe nicht einzutreten.</w:t>
      </w:r>
    </w:p>
    <w:p>
      <w:r>
        <w:rPr>
          <w:b/>
        </w:rPr>
        <w:t>E. 2</w:t>
      </w:r>
    </w:p>
    <w:p>
      <w:r>
        <w:t>A.________ führt mit Eingabe vom 11. März 2023 (Postaufgabe 16. März 2023) Beschwerde in öffentlich-rechtlichen Angelegenheiten gegen den Entscheid des Verwaltungsgerichts des Kantons Schwyz.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Die Beschwerdeführerin setzt sich mit der Begründung des Verwaltungsgerichts, die zum Nichteintreten auf ihre Eingabe vom 18. Februar 2023 führte, nicht auseinander. Sie vermag nicht nachvollziehbar aufzuzeigen, inwiefern die Begründung des Verwaltungsgerichts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4</w:t>
      </w:r>
    </w:p>
    <w:p>
      <w:r>
        <w:t>Die Beschwerde erweist sich als offensichtlich aussichtslos, weshalb dem Gesuch um unentgeltliche Rechtspflege nicht zu entsprechen ist ( Art. 64 BGG ). Indessen ist ausnahmsweise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