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142/2019 vom 27. Juni 2019</w:t>
      </w:r>
    </w:p>
    <w:p>
      <w:r>
        <w:t>Bundesgericht, 2019-06-27, FR</w:t>
      </w:r>
    </w:p>
    <w:p>
      <w:r>
        <w:rPr>
          <w:b/>
        </w:rPr>
        <w:t xml:space="preserve">Quelle: </w:t>
      </w:r>
      <w:r>
        <w:t>https://mcp.opencaselaw.ch/entscheid/bger_1C_142_2019</w:t>
      </w:r>
    </w:p>
    <w:p>
      <w:r>
        <w:t>FR: TF 1C 142/2019 du 27 juin 2019</w:t>
      </w:r>
    </w:p>
    <w:p>
      <w:r>
        <w:t>IT: TF 1C 142/2019 del 27 giugno 2019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 Il convient donc d'entrer en matière sur le recours.</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tous les faits se sont déroulés sous l'empire de l'ancien droit de sorte que l'aLN s'applique.</w:t>
      </w:r>
    </w:p>
    <w:p>
      <w:r>
        <w:rPr>
          <w:b/>
        </w:rPr>
        <w:t>E. 3</w:t>
      </w:r>
    </w:p>
    <w:p>
      <w:r>
        <w:t>Invoquant l' art. 97 al. 1 LTF , la recourante se plaint d'une constatation manifestement inexacte des faits.</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IV 416 consid. 4 p. 421). En particulier, le Tribunal fédéral n'entre pas en matière sur des critiques appellatoires concernant l'établissement des faits ou l'appréciation des preuves opérés par l'autorité précédente ( ATF 137 II 353 consid. 5.1 p. 356; cf. aussi ATF 140 III 264 consid. 2.3).</w:t>
      </w:r>
    </w:p>
    <w:p>
      <w:r>
        <w:rPr>
          <w:b/>
        </w:rPr>
        <w:t>E. 3.2</w:t>
      </w:r>
    </w:p>
    <w:p>
      <w:r>
        <w:t>La recourante reproche au Tribunal administratif fédéral de ne pas avoir tenu compte du fait qu'elle avait attendu deux ans avant de faire sa demande de naturalisation et que si elle avait fait la demande de naturalisation facilitée dès que les conditions étaient réalisées, le seuil des deux ans découlant de la jurisprudence serait largement dépassé et la présomption ne s'appliquerait pas. Elle lui fait aussi grief de ne pas avoir retenu que si elle avait menti au moment de la signature de la déclaration, elle aurait attendu deux mois supplémentaires avant de se séparer pour éviter l'application de la présomption. La recourante fait encore valoir que l'élément déclencheur de sa séparation avec son ex-époux serait la perte de son enfant et le peu de soutien apporté par son conjoint lors de cette épreuve. Ces différents éléments ressortent cependant de l'arrêt attaqué. En réalité, la recourante ne conteste pas l'établissement des faits en tant que tel mais plutôt leur appréciation juridique. Il s'agit ainsi d'une question de droit qui sera examinée avec le fond. Le grief de la constatation inexacte des faits est donc irrecevable.</w:t>
      </w:r>
    </w:p>
    <w:p>
      <w:r>
        <w:rPr>
          <w:b/>
        </w:rPr>
        <w:t>E. 4</w:t>
      </w:r>
    </w:p>
    <w:p>
      <w:r>
        <w:t>La recourante conteste avoir obtenu la naturalisation par des déclarations mensongères et soutient que la présomption résultant de l'enchaînement rapide des faits n'est pas applicable, et que, le cas échéant, le décès de son fils est l'élément extraordinaire qui explique la détérioration du lien conjugal avec son époux.</w:t>
      </w:r>
    </w:p>
    <w:p>
      <w:r>
        <w:rPr>
          <w:b/>
        </w:rPr>
        <w:t>E. 4.1</w:t>
      </w:r>
    </w:p>
    <w:p>
      <w:r>
        <w:t>Conformément à l'art. 41 al. 1 aLN, le SEM peut, avec l'assentiment de l'autorité du canton d'origine,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p. 67). Tel est notamment le cas si le requérant déclare vivre en communauté stable avec son conjoint alors qu'il envisage de se séparer une fois obtenue la naturalisation facilitée; peu importe que son mariage se soit ou non déroulé jusqu'ici de manière harmonieuse (cf. arrêts du Tribunal fédéral 1C_601/2017 du 1er mars 2018 consid. 3.1.1; 1C_588/2017 du 30 novembre 2017 consid. 5.1). 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4.2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Le fait de taxer de plus ou moins rapide un enchaînement de circonstances pertinentes pour l'issue d'un litige relève du pouvoir d'appréciation du juge, opération dans le cadre de laquelle le Tribunal fédéral n'intervient qu'en cas d'excès de ce pouvoir (cf. arrêt 1C_172/2012 du 11 mai 2012 consid. 2.3).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4.3</w:t>
      </w:r>
    </w:p>
    <w:p>
      <w:r>
        <w:t>En l'espèce, le Tribunal administratif fédéral a considéré que le laps de temps séparant la déclaration commune (2 juillet 2014), l'octroi de la naturalisation facilitée (10 juillet 2014), la requête des mesures de protection de l'union conjugale (fin février 2016) et la séparation (le 1er mai 2016) était de nature à fonder la présomption que cette naturalisation avait été acquise au moyen de déclarations mensongères. Il a rappelé que même si on se trouvait à la limite supérieure de la jurisprudence en la matière, ce laps de temps se trouvait en-dessous du seuil de deux ans permettant encore d'appliquer la présomption jurisprudentielle; s'ajoutait à cela que la recourante avait sollicité la constitution de domiciles séparés le 26 février 2016 déjà. L'instance précédente n'en est cependant pas restée au constat que l'enchaînement chronologique des faits conduisait à cette présomption. Elle a ajouté que celle-ci était renforcée par de nombreux éléments. Elle a souligné que la recourante était suivie par la doctoresse D.________ depuis janvier 2013, laquelle avait mis en évidence les nombreux problèmes existants au sein du couple dont l'impossibilité de faire venir les enfants mineurs de la recourante en Suisse en raison de l'insolvabilité du conjoint, le manque constant de communication au sein du couple, le défaut de soutien de l'époux dans les tâches ménagères et enfin l'absence de rapports sexuels, l'époux étant impuissant. Ces éléments étaient également corroborés par le résumé du procès-verbal d'audition de l'époux qui donne l'image d'un couple en proie à de profondes difficultés, déjà lors de l'octroi de la naturalisation facilitée. L'autorité inférieure s'est aussi appuyée sur les déclarations de la recourante elle-même qui a confirmé son insatisfaction en raison de l'absence de relations sexuelles, le manque de tendresse entre les conjoints et le refus de l'époux de consulter un médecin au sujet de son impuissance, ce à quoi il s'était pourtant engagé lorsqu'il se trouvait encore au Cameroun. Elle a mis en évidence les propres déclarations de la recourante selon lesquelles la vie de couple n'était plus satisfaisante pour personne au moment de la requête de mesures de protection de l'union conjugale. Enfin, le Tribunal administratif fédéral a souligné que le couple n'avait jamais tenté, par des mesures de soutien concrètes, de trouver une alternative au divorce. Dans ces circonstances, l'instance précédente a pris en compte l'ensemble de ces éléments qui renforcent la présomption établie et n'a pas excédé son pouvoir d'appréciation (cf. arrêts 1C_588/2017 du 30 novembre 2017 consid. 5.3.2; 1C_121/2014 du 20 août 2014 consid. 2.1.2). Le simple fait que la recourante aurait pu déposer sa demande de naturalisation deux ans plus tôt et qu'elle aurait pu attendre deux mois avant de se séparer de son mari ne suffit pas à démontrer que l'instance précédente a abusé de son pouvoir d'appréciation en appliquant la présomption. Conformément à la jurisprudence précitée, il convient d'examiner si la recourante est parvenue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4.4</w:t>
      </w:r>
    </w:p>
    <w:p>
      <w:r>
        <w:t>Dans son écriture, la recourante soutient qu'elle formait une communauté conjugale effective et stable avec son époux au moment de la naturalisation. Elle conteste avoir menti dans le but d'être naturalisée. Elle explique que c'est uniquement à la suite de l'événement extraordinaire du décès de son fils en août 2015 et plus particulièrement en raison de l'attitude passive de son ex-époux face à cet événement qu'elle aurait pris conscience de ses problèmes conjugaux. Elle se réfère à cet égard à un passage du rapport de la doctoresse D.________. Cet élément n'est cependant pas propre à rendre vraisemblable qu'en juillet 2014, au moment de la signature de la déclaration commune, l'harmonie existait toujours au sein du couple au point d'envisager la continuation de leur vie maritale pour une période durable. L'instance précédente a par ailleurs démontré de manière pertinente que, sans vouloir minimiser l'événement tragique qui s'est produit en août 2015, il apparaissait davantage comme un élément supplémentaire qui venait s'ajouter aux nombreuses difficultés du couple que comme un élément soudainement révélateur de la gravité des problèmes existants. Preuve en est d'ailleurs le fait que la doctoresse D.________ a souligné que la perte d'êtres proches au Cameroun avait mis en exergue ces difficultés. Certes, la recourante a effectivement consulté aux urgences le 24 décembre 2015 en raison d'une surcharge émotionnelle, mais comme l'a souligné le Tribunal administratif fédéral, elle n'a pas engagé de suivi psychologique à la suite de cette consultation. On constate dès lors, avec le Tribunal administratif fédéral, que les problèmes conjugaux étaient antérieurs à la signature de la déclaration de vie commune et que la recourante ne pouvait pas en ignorer l'ampleur. Elle était notamment consciente que son époux rencontrait d'importants problèmes tant relationnels que sexuels. Le décès de son fils au Cameroun vient s'inscrire dans cette situation préexistante et ne saurait constituer, dans ce contexte, un événement extraordinaire au sens requis par la jurisprudence.</w:t>
      </w:r>
    </w:p>
    <w:p>
      <w:r>
        <w:rPr>
          <w:b/>
        </w:rPr>
        <w:t>E. 4.5</w:t>
      </w:r>
    </w:p>
    <w:p>
      <w:r>
        <w:t>En définitive, les éléments avancés par la recourante ne suffisent pas à renverser la présomption établie. Il en découle que les conditions d'application de l'art. 41 aLN sont réunies et que le Tribunal administratif fédéral n'a pas violé le droit fédéral, en confirmant l'annulation de la naturalisation facilitée qui avait été octroyée à la recourante.</w:t>
      </w:r>
    </w:p>
    <w:p>
      <w:r>
        <w:rPr>
          <w:b/>
        </w:rPr>
        <w:t>E. 5</w:t>
      </w:r>
    </w:p>
    <w:p>
      <w:r>
        <w:t>Sur le vu de ce qui précède, le recours doit être rejeté, dans la mesure de sa recevabilité. Dès lors que la recourante est dans le besoin et que ses conclusions ne paraissaient pas d'emblée vouées à l'échec, sa requête d'assistance judiciaire doit être admise ( art. 64 al. 1 LTF ). Par conséquent, il y a lieu de la dispenser des frais judiciaires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