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1C_142/2009 vom 10. September 2009</w:t>
      </w:r>
    </w:p>
    <w:p>
      <w:r>
        <w:t>Bundesgericht, 2009-09-10, DE</w:t>
      </w:r>
    </w:p>
    <w:p>
      <w:r>
        <w:rPr>
          <w:b/>
        </w:rPr>
        <w:t xml:space="preserve">Quelle: </w:t>
      </w:r>
      <w:r>
        <w:t>https://mcp.opencaselaw.ch/entscheid/bger_1C_142_2009</w:t>
      </w:r>
    </w:p>
    <w:p>
      <w:r>
        <w:t>FR: TF 1C_142/2009 du 10 septembre 2009</w:t>
      </w:r>
    </w:p>
    <w:p>
      <w:r>
        <w:t>IT: TF 1C_142/2009 del 10 settembre 2009</w:t>
      </w:r>
    </w:p>
    <w:p>
      <w:pPr>
        <w:pStyle w:val="Heading2"/>
      </w:pPr>
      <w:r>
        <w:t>Erwägungen</w:t>
      </w:r>
    </w:p>
    <w:p>
      <w:r>
        <w:rPr>
          <w:b/>
        </w:rPr>
        <w:t>E. 1.1</w:t>
      </w:r>
    </w:p>
    <w:p>
      <w:r>
        <w:t>Das angefochtene Urteil des Verwaltungsgerichts betreffend die Zulässigkeit der Enteignung ist ein Endentscheid einer letzten kantonalen Instanz ( Art. 90 und 86 Abs. 1 lit. d BGG ; zur Publikation bestimmtes Urteil des Bundesgerichts 1C_39/2009 vom 18. Mai 2009 E 1.2). Diesem liegt eine öffentlich-rechtliche Angelegenheit zugrunde. Das Bundesgerichtsgesetz enthält auf dem Gebiet des Enteignungsrechts keinen Ausschlussgrund von der Beschwerde in öffentlich-rechtlichen Angelegenheiten ( Art. 82 lit. a und Art. 83 BGG ). Gegen den angefochtenen Entscheid des Verwaltungsgerichts ist die Beschwerde in öffentlich-rechtlichen Angelegenheiten gemäss Art. 82 lit. a BGG grundsätzlich zulässig. Als Eigentümer der zu enteignenden Parzelle KTN 97 sind die Beschwerdeführer zur Beschwerdeführung berechtigt ( Art. 89 Abs. 1 BGG ).</w:t>
      </w:r>
    </w:p>
    <w:p>
      <w:r>
        <w:rPr>
          <w:b/>
        </w:rPr>
        <w:t>E. 1.2</w:t>
      </w:r>
    </w:p>
    <w:p>
      <w:r>
        <w:t>Das Bundesgericht prüft den angefochtenen Entscheid auf Rechtsverletzungen im Sinne von Art. 95 BGG hin. Diese müssen in den Rechtsschriften hinreichend gerügt und begründet werden ( Art. 42 Abs. 1 BGG ).</w:t>
      </w:r>
    </w:p>
    <w:p>
      <w:r>
        <w:t>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wird demnach die Praxis zum Rügeprinzip gemäss Art. 90 Abs. 1 lit. b OG (vgl. dazu BGE 130 I 258 E. 1.3 S. 261 f. ; 129 I 113 E. 2.1 S. 120) weitergeführt ( BGE 133 II 249 E. 1.4.2 S. 254; 133 III 638 E. 2 S. 639).</w:t>
      </w:r>
    </w:p>
    <w:p>
      <w:r>
        <w:t>Soweit eine rechtsgenügliche Begründung fehlt, wird auf die Beschwerde nicht eingetreten.</w:t>
      </w:r>
    </w:p>
    <w:p>
      <w:r>
        <w:rPr>
          <w:b/>
        </w:rPr>
        <w:t>E. 2.1</w:t>
      </w:r>
    </w:p>
    <w:p>
      <w:r>
        <w:t>Das Verwaltungsgericht legt im angefochtenen Entscheid dar, das Enteignungsverfahren des Kantons Schwyz sei zweistufig. In der ersten Verfahrensstufe werde entschieden, ob und was enteignet werden dürfe. Erst wenn das Verfahren dieser Stufe abgeschlossen sei, erfolge in der zweiten Stufe das Schätzungsverfahren vor der Schätzungskommission. Im Beschwerdeverfahren gegen die Enteignung (erste Verfahrensstufe) seien Begehren, welche die Änderung eines Plans bezweckten, der einem Auflage- und Einspracheverfahren unterzogen worden sei, unzulässig. In Missachtung dieser Rechtslage erhoben die Beschwerdeführer vor dem Verwaltungsgericht im Wesentlichen Rügen, die sich gegen das rechtskräftige Strassenprojekt richteten. Das Verwaltungsgericht ist auf diese Vorbringen nicht eingetreten.</w:t>
      </w:r>
    </w:p>
    <w:p>
      <w:r>
        <w:rPr>
          <w:b/>
        </w:rPr>
        <w:t>E. 2.2</w:t>
      </w:r>
    </w:p>
    <w:p>
      <w:r>
        <w:t>Die Beschwerdeführer wiederholen ihre gegen das rechtskräftige Strassenprojekt gerichteten materiellen Rügen vor Bundesgericht erneut. Da diese mit dem Bundesgerichtsurteil vom 27. August 2008 (1C_240/2008 und 1C_241/2008) rechtskräftig beurteilt worden sind, können sie nicht Gegenstand des vorliegenden bundesgerichtlichen Verfahrens bilden. Auf diese Vorbringen der Beschwerdeführer ist daher nicht einzutreten. Das gilt namentlich in Bezug auf die Bestreitung der öffentlichen und privaten Interessen am Strassenprojekt, die Notwendigkeit und die Lokalisierung des umstrittenen Kreisels, den Einbezug von Parzellen der Beschwerdeführer in die Strassenplanung sowie die Verkehrsführung im Einzugsbereich des genehmigten Strassenprojekts mit Einschluss des Langsamverkehrs und der Fussgängerverbindungen.</w:t>
      </w:r>
    </w:p>
    <w:p>
      <w:r>
        <w:rPr>
          <w:b/>
        </w:rPr>
        <w:t>E. 2.3</w:t>
      </w:r>
    </w:p>
    <w:p>
      <w:r>
        <w:t>Im Übrigen bestreiten die Beschwerdeführer das Vorliegen der Enteignungsvoraussetzungen in pauschaler Weise. Sie bringen damit unzulässige rein appellatorische Kritik am angefochtenen Urteil vor. So machen sie geltend, sie hätten verschiedentlich versucht, eine einvernehmliche Lösung zu erreichen. Das sei gescheitert. Im Weiteren bezeichnen die Beschwerdeführer als unzulässig, dass sie als private Landbesitzer im Enteignungsverfahren Land abgeben müssten für die Erschliessung einer privaten Firma, die eigentlich genug eigene Landressourcen besitze, um ihre selbst verursachten Verkehrsprobleme zu lösen. Auch diese Vorbringen erfüllen die vorn genannten Begründungsanforderungen an die Beschwerdeführung vor Bundesgericht nicht und richten sich zum Teil ebenfalls in unzulässiger Weise gegen das rechtskräftig beurteilte Strassenprojekt. Es kann deshalb darauf ebenfalls nicht eingetreten werden.</w:t>
      </w:r>
    </w:p>
    <w:p>
      <w:r>
        <w:rPr>
          <w:b/>
        </w:rPr>
        <w:t>E. 3</w:t>
      </w:r>
    </w:p>
    <w:p>
      <w:r>
        <w:t>Zusammengefasst ergibt sich, dass auf die Beschwerde nicht einzutreten ist.</w:t>
      </w:r>
    </w:p>
    <w:p>
      <w:r>
        <w:t>Bei diesem Verfahrensausgang sind die Gerichtskosten den Beschwerdeführern aufzuerlegen ( Art. 66 Abs. 1 BGG ). Den kommunalen und kantonalen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