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1C_142/2008 vom 27. Mai 2008</w:t>
      </w:r>
    </w:p>
    <w:p>
      <w:r>
        <w:t>Bundesgericht, 2008-05-27, DE</w:t>
      </w:r>
    </w:p>
    <w:p>
      <w:r>
        <w:rPr>
          <w:b/>
        </w:rPr>
        <w:t xml:space="preserve">Quelle: </w:t>
      </w:r>
      <w:r>
        <w:t>https://mcp.opencaselaw.ch/entscheid/bger_1C_142_2008</w:t>
      </w:r>
    </w:p>
    <w:p>
      <w:r>
        <w:t>FR: TF 1C_142/2008 du 27 mai 2008</w:t>
      </w:r>
    </w:p>
    <w:p>
      <w:r>
        <w:t>IT: TF 1C_142/2008 del 27 maggio 2008</w:t>
      </w:r>
    </w:p>
    <w:p>
      <w:pPr>
        <w:pStyle w:val="Heading2"/>
      </w:pPr>
      <w:r>
        <w:t>Erwägungen</w:t>
      </w:r>
    </w:p>
    <w:p>
      <w:r>
        <w:rPr>
          <w:b/>
        </w:rPr>
        <w:t>E. 1</w:t>
      </w:r>
    </w:p>
    <w:p>
      <w:r>
        <w:t>Die Eingaben des Beschwerdeführers richten sich gegen zwei verschiedene Entscheide des Haftrichters. Diese stehen in einem unmittelbaren sachlichen und prozessualen Zusammenhang. Es rechtfertigt sich, die Verfahren zusammenzufassen und in einem einzigen Urteil zu beurteilen.</w:t>
      </w:r>
    </w:p>
    <w:p>
      <w:r>
        <w:t>Verfügungen betreffend Massnahmen gemäss Gewaltschutzgesetz können beim Bundesgericht mit der Beschwerde in öffentlich-rechtlichen Angelegenheiten angefochten werden (Urteil 1C_407/2007 und 1C_409/2007 vom 31. Januar 2008, E. 1). Da es sich beim Gewaltschutzgesetz um kantonales Recht handelt, fällt einzig die Rüge der Verletzung von Verfassungsrecht in Betracht ( Art. 95 lit. a und c BGG ). Es ist in der Beschwerdeschrift darzulegen und zu begründen, inwiefern der angefochtene Akt Recht verletzt oder mit Verfassungsrecht im Widerspruch steht ( Art. 42 Abs. 2 und Art. 106 Abs. 2 BGG ) bzw. in welcher Hinsicht der von der Vorinstanz festgestellte Sachverhalt offensichtlich unrichtig ist oder auf einer Rechtsverletzung beruht ( Art. 105 Abs. 2 BGG ).</w:t>
      </w:r>
    </w:p>
    <w:p>
      <w:r>
        <w:t>Die Verfügungen des Haftrichters stellen Endentscheide im Sinne von Art. 90 BGG dar und gelten als kantonal letztinstanzlich ( Art. 86 Abs. 1 lit. d BGG in Verbindung mit der Übergangsfrist von Art. 130 Abs. 3 BGG ).</w:t>
      </w:r>
    </w:p>
    <w:p>
      <w:r>
        <w:t>Damit erweisen sich die Beschwerden im Grundsatz als zulässig. Dem Eintreten steht der Umstand nicht entgegen, dass die Verfügung vom 19. März 2008 durch jene vom 1. April 2008 ersetzt worden ist. Über die Zulässigkeit der einzelnen Anträge sowie die Befolgung der Begründungsanforderungen ist nachfolgend im entsprechenden Sachzusammenhang zu befinden.</w:t>
      </w:r>
    </w:p>
    <w:p>
      <w:r>
        <w:rPr>
          <w:b/>
        </w:rPr>
        <w:t>E. 2</w:t>
      </w:r>
    </w:p>
    <w:p>
      <w:r>
        <w:t>Das kantonale Gewaltschutzgesetz bezweckt den Schutz, die Sicherheit und die Unterstützung von Personen, die durch häusliche Gewalt betroffen sind, und sieht hierfür verschiedene Massnahmen vor ( § 1 und 2 GSG ). Diese können parallel zu eheschutzrechtlichen Anordnungen ergehen. Eheschutzrechtliche Anordnungen gehen indes vor. Diese können auf dem dafür vorgesehenen Rechtsmittelweg angefochten werden (vgl. Rechtsmittelbelehrung im eheschutzrechtlichen Entscheid vom 20. Dezember 2007). Dies bedeutet insbesondere, dass eheschutzrechtliche Anordnungen im gewaltschutzrechtlichen Verfahren nicht in Frage gestellt oder abgeändert werden können.</w:t>
      </w:r>
    </w:p>
    <w:p>
      <w:r>
        <w:t>Der Haftrichter hat in den angefochtenen Verfügungen auf den eheschutzrechtlichen Entscheid der Einzelrichterin vom 28. August 2007 verwiesen. Der Beschwerdeführer bestreitet die Wirksamkeit dieses Entscheides. Die Frage kann offen gelassen werden. In materieller Hinsicht ist vom eheschutzrechtlichen Entscheid vom 20. Dezember 2007 auszugehen, mit dem die Eheschutzmassnahmen für die Zeit des Getrenntlebens im Einzelnen umschrieben sind. Im Übrigen zeigt sich, dass die für den vorliegenden Fall massgeblichen Anordnungen in den beiden Entscheiden vom 28. August und 20. Dezember 2007 weitgehend übereinstimmen. Inskünftig wird der Entscheid des Obergerichts betreffend die Eheschutzmassnahmen zu berücksichtigen sein.</w:t>
      </w:r>
    </w:p>
    <w:p>
      <w:r>
        <w:t>Für die Behandlung der vorliegenden Beschwerden ist von den drei Gewaltschutzmassnahmen auszugehen, die Gegenstand der polizeilichen Verfügung und der angefochtenen Haftrichterentscheide bildeten.</w:t>
      </w:r>
    </w:p>
    <w:p>
      <w:r>
        <w:rPr>
          <w:b/>
        </w:rPr>
        <w:t>E. 2.1</w:t>
      </w:r>
    </w:p>
    <w:p>
      <w:r>
        <w:t>Der Haftrichter bestätigte das Verbot, die Wohnung von C.________ in S.________ zu betreten. Mit seinen Aufhebungsanträgen ficht der Beschwerdeführer auch diese Massnahme an. Er unterlässt es indessen, im Einzelnen zu begründen, inwiefern diese Massnahme gegen Verfassungsrecht verstossen oder auf einem offensichtlich unrichtigen Sachverhalt beruhen soll. Er begnügt sich mit dem Hinweis, gar nie versucht zu haben, in die Wohnung von C.________ zu gelangen. Angesichts des Umstandes, dass sich die Beschwerdegegnerin mit ihren Kindern bei C.________ aufhalten, erweist sich die Massnahme im Ergebnis nicht als willkürlich. Bei dieser Sachlage ist die Beschwerde in diesem Punkt abzuweisen, soweit darauf überhaupt eingetreten werden kann.</w:t>
      </w:r>
    </w:p>
    <w:p>
      <w:r>
        <w:rPr>
          <w:b/>
        </w:rPr>
        <w:t>E. 2.2</w:t>
      </w:r>
    </w:p>
    <w:p>
      <w:r>
        <w:t>Der Haftrichter hat im Entscheid vom 19. März 2008 die Wegweisung aus der ehelichen Liegenschaft in L.________ aufgehoben und im Entscheid vom 1. Apri 2008 ein entsprechendes Ersuchen der Beschwerdegegnerin als gegenstandslos betrachtet. Demnach liegt in Bezug auf die Liegenschaft in L.________ keine gewaltschutzrechtliche Anordnung vor. Es fehlt demnach an einem Anfechtungsobjekt, weshalb in diesem Punkt auf die Beschwerde nicht einzutreten ist. Das gilt auch für die Eventualbegehren des Beschwerdeführers, ihm zumindest Zugang zu Werkstatt und Garage, evt. zu seinem Büro zu ermöglichen. In Bezug auf die Liegenschaft in L.________ ist daher ausschliesslich der eheschutzrechtliche Entscheid vom 20. Dezember 2007 massgebend. Darin ist die Liegenschaft samt Mobiliar und Hausrat der Beschwerdegegnerin zur alleinigen Benützung zugewiesen worden. Diese hat dem Beschwerdeführer unter den dort genannten Bedingungen die Gegenstände gemäss einer Liste herauszugeben. Auch die Benützung der Autos ist darin geregelt.</w:t>
      </w:r>
    </w:p>
    <w:p>
      <w:r>
        <w:rPr>
          <w:b/>
        </w:rPr>
        <w:t>E. 2.3</w:t>
      </w:r>
    </w:p>
    <w:p>
      <w:r>
        <w:t>Schliesslich hat der Haftrichter mit beiden angefochtenen Entscheiden das Verbot, mit der Beschwerdegegnerin und den gemeinsamen Kindern Kontakt aufzunehmen, bestätigt.</w:t>
      </w:r>
    </w:p>
    <w:p>
      <w:r>
        <w:t>In dieser Hinsicht ist vom Entscheid vom 20. Dezember 2007 auszugehen, mit dem die Einzelrichterin die Nebenfolgen des Getrenntlebens regelte. Die Kinder sind unter die elterliche Obhut der Beschwerdegegnerin gestellt worden. Dem Beschwerdeführer ist für die ersten vier Monate ein begleitetes Besuchsrecht, für die Zeit danach in Absprache mit dem Besuchsrechtsbeistand ein unbegleitetes Besuchsrecht eingeräumt worden. Es ist ihm verboten worden, die Kinder zusammen oder einzeln mit sich ins Ausland zu nehmen. Schliesslich sind die Parteien verpflichtet worden, sich auf erstes Verlangen hin gegenseitig Gegenstände gemäss einer Liste herauszugeben.</w:t>
      </w:r>
    </w:p>
    <w:p>
      <w:r>
        <w:t>Der Vollzug dieser Massnahmen setzt eine Kontaktnahme des Beschwerdeführers mit der Beschwerdegegnerin voraus und ermöglicht dem Beschwerdeführer im umschriebenen Rahmen den Kontakt mit seinen Kindern. Da die eheschutzrechtlichen Massnahmen, wie dargelegt, den gewaltschutzrechtlichen Anordnungen vorgehen, ist der angefochtene Entscheid von vornherein im Sinne und unter Vorbehalt der für das Getrenntleben umschriebenen Anordnungen zu verstehen. Davon ist auch für die Beurteilung der vorliegenden Beschwerden auszugehen.</w:t>
      </w:r>
    </w:p>
    <w:p>
      <w:r>
        <w:t>Angesichts der eheschutzrechtlichen Massnahmen gemäss Entscheid vom 20. Dezember 2007, kann auf den Antrag des Beschwerdeführers, es sei ihm ein Besuchsrecht mit der Möglichkeit von Ferien im Ausland einzuräumen, von vornherein nicht eingetreten werden.</w:t>
      </w:r>
    </w:p>
    <w:p>
      <w:r>
        <w:t>Der Haftrichter hat im Entscheid vom 1. April 2008 ausgeführt, dass der Fortbestand einer Gefährdung der Beschwerdegegnerin und der Kinder aufgrund des Verhaltens, verschiedener Äusserungen und der Aussagen des Beschwerdeführers anlässlich der Anhörung nach wie vor glaubhaft erscheine. Dieser beteuert mit seinen Beschwerden zwar, weder gegenüber der Beschwerdegegnerin noch gegenüber den Kindern je Drohungen ausgesprochen zu haben. Er zieht die vom Haftrichter zitierten Äusserungen nicht in Frage, macht hingegen geltend, dass auf seine Eingaben an das Obergericht nicht abgestellt werden könne. Für die Beurteilung einer Bedrohungslage kann indes jegliche Äusserung sowie das ganze Verhalten berücksichtigt werden. In dieser Hinsicht vermag der Beschwerdeführer nicht darzulegen, dass die Annahmen des Haftrichters geradezu willkürlich seien und die getroffene Massnahme nicht zu stützen vermöchten. Damit erweisen sich die Beschwerden auch in diesem Punkte als unbegründet und sind abzuweisen, soweit darauf eingetreten werden kann.</w:t>
      </w:r>
    </w:p>
    <w:p>
      <w:r>
        <w:rPr>
          <w:b/>
        </w:rPr>
        <w:t>E. 3</w:t>
      </w:r>
    </w:p>
    <w:p>
      <w:r>
        <w:t>Gesamthaft sind die Beschwerden im Sinne der Erwägungen abzuweisen, soweit darauf eingetreten werden kann.</w:t>
      </w:r>
    </w:p>
    <w:p>
      <w:r>
        <w:t>In Anbetracht der gesamten Umstände rechtfertigt es sich, keine Kosten zu erheben. Damit wird das Gesuch um Gewährung der unentgeltlichen Rechtspflege gegenstanslos. Dem nicht anwaltlich vertretenen Beschwerdeführer steht keine Parteientschädigung zu. Die anwaltlich vertretene Beschwerdegegnerin hat in beiden Verfahren auf eine Vernehmlassung verzichtet und stellt folgerichtig keinen Antrag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