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1C_141/2010 vom 8. März 2010</w:t>
      </w:r>
    </w:p>
    <w:p>
      <w:r>
        <w:t>Bundesgericht, 2010-03-08, DE</w:t>
      </w:r>
    </w:p>
    <w:p>
      <w:r>
        <w:rPr>
          <w:b/>
        </w:rPr>
        <w:t xml:space="preserve">Quelle: </w:t>
      </w:r>
      <w:r>
        <w:t>https://mcp.opencaselaw.ch/entscheid/bger_1C_141_2010</w:t>
      </w:r>
    </w:p>
    <w:p>
      <w:r>
        <w:t>FR: TF 1C_141/2010 du 8 mars 2010</w:t>
      </w:r>
    </w:p>
    <w:p>
      <w:r>
        <w:t>IT: TF 1C_141/2010 del 8 marzo 2010</w:t>
      </w:r>
    </w:p>
    <w:p>
      <w:pPr>
        <w:pStyle w:val="Heading2"/>
      </w:pPr>
      <w:r>
        <w:t>Erwägungen</w:t>
      </w:r>
    </w:p>
    <w:p>
      <w:r>
        <w:rPr>
          <w:b/>
        </w:rPr>
        <w:t>E. 1</w:t>
      </w:r>
    </w:p>
    <w:p>
      <w:r>
        <w:t>Der Gemeindevorstand Z.________ erteilte am 31. März 2009 Y.________ unter Auflagen und Bedingungen die Bewilligung für den Abbruch des bestehenden Mehrfamilienhauses auf Parzelle 000 sowie den Bau zweier neuer Mehrfamilienhäuser; die gegen das Baugesuch eingereichte Einsprache von X.________ wies er ab. Dagegen erhob X.________ am 9. Mai 2009 Beschwerde. Das Verwaltungsgericht des Kantons Graubünden hiess die Beschwerde mit Urteil vom 28. Januar 2010 teilweise gut und wies die Sache im Sinne der Erwägungen an die Gemeinde zurück. Im Übrigen wies es die Beschwerde ab, soweit es darauf eintrat. Zusammenfassend führte es aus, dass die Beschwerde hinsichtlich der teilweisen Verletzung des Grenzabstandes zur Parzelle 000 des Beschwerdeführers gutzuheissen sei. Diesbezüglich sei die Sache an die Gemeinde zurückzuweisen, damit sie darüber befinde, ob dieser Mangel durch eine Auflage behoben werden könne.</w:t>
      </w:r>
    </w:p>
    <w:p>
      <w:r>
        <w:rPr>
          <w:b/>
        </w:rPr>
        <w:t>E. 2</w:t>
      </w:r>
    </w:p>
    <w:p>
      <w:r>
        <w:t>X.________ führt mit Eingabe vom 3. März 2010 Beschwerde in öffentlich-rechtlichen Angelegenheiten gegen das Urteil des Verwaltungsgerichts des Kantons Graubünden. Das Bundesgericht verzichtet auf die Einholung von Vernehmlassungen.</w:t>
      </w:r>
    </w:p>
    <w:p>
      <w:r>
        <w:rPr>
          <w:b/>
        </w:rPr>
        <w:t>E. 3</w:t>
      </w:r>
    </w:p>
    <w:p>
      <w:r>
        <w:t>Das angefochtene Urteil des Verwaltungsgerichts ist ein Entscheid einer letzten kantonalen Instanz ( Art. 86 Abs. 1 lit. d BGG ). Mit dem Urteil wird die Sache an die Gemeinde zurückgewiesen, damit diese darüber befinden kann, ob der Mangel der teilweisen Verletzung des Grenzabstandes durch eine Auflage behoben werden kann. Das angefochtene Urteil hat somit noch nicht alle wesentlichen baurechtlichen Fragen betreffend das umstrittene Bauvorhaben letztinstanzlich entschieden. Es schliesst das Baubewilligungsverfahren somit nicht ab. Entgegen der Ansicht des Beschwerdeführers handelt und es sich beim angefochtenen Urteil nicht um einen Teilentscheid ( Art. 91 BGG ), sondern um einen Zwischenentscheid im Sinne von Art. 93 BGG .</w:t>
      </w:r>
    </w:p>
    <w:p>
      <w:r>
        <w:rPr>
          <w:b/>
        </w:rPr>
        <w:t>E. 4.1</w:t>
      </w:r>
    </w:p>
    <w:p>
      <w:r>
        <w:t>Gegen Vor- und Zwischenentscheide - die weder die Zuständigkeit noch den Ausstand betreffen (s. dazu Art. 92 BGG )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aufgrund von Art. 93 Abs. 1 BGG nicht zulässig oder wurde von ihr kein Gebrauch gemacht, so sind die betreffenden Vor- und Zwischenentscheide durch Beschwerde gegen den Endentscheid anfechtbar, soweit sie sich auf dessen Inhalt auswirken.</w:t>
      </w:r>
    </w:p>
    <w:p>
      <w:r>
        <w:rPr>
          <w:b/>
        </w:rPr>
        <w:t>E. 4.2</w:t>
      </w:r>
    </w:p>
    <w:p>
      <w:r>
        <w:t>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 f.).</w:t>
      </w:r>
    </w:p>
    <w:p>
      <w:r>
        <w:rPr>
          <w:b/>
        </w:rPr>
        <w:t>E. 4.3</w:t>
      </w:r>
    </w:p>
    <w:p>
      <w:r>
        <w:t>Der Beschwerdeführer hat die Eintretensvoraussetzungen von Art. 93 BGG darzulegen. Es ist nicht Aufgabe des Bundesgerichts, von Amtes wegen hiezu Nachforschungen anzustellen ( BGE 134 III 426 E. 1.2; 133 III 629 E. 2.3.1). Vorliegend äussert sich der Beschwerdeführer nicht zu den Eintretensvoraussetzungen von Art. 93 BGG . Auch ist nicht ersichtlich, inwiefern diese gegeben sein sollten. Mit einer Gutheissung der Beschwerde könnte weder ein bedeutender Aufwand an Zeit oder Kosten für ein weitläufiges Beweisverfahren erspart werden, noch ist ein nicht wieder gutzumachender Nachteil im Sinne von Art. 93 Abs. 1 lit. a BGG zu erkennen.</w:t>
      </w:r>
    </w:p>
    <w:p>
      <w:r>
        <w:rPr>
          <w:b/>
        </w:rPr>
        <w:t>E. 5</w:t>
      </w:r>
    </w:p>
    <w:p>
      <w:r>
        <w:t>Nach dem Gesagten ist auf die Beschwerde im vereinfachten Verfahren nach Art. 108 Abs. 1 BGG nicht einzutreten. Entsprechend dem Verfahrensausgang trägt der Beschwerdeführer die Gerichtskosten ( Art. 66 Abs. 1 BGG ). Dem obsiegenden Beschwerdegegner ist keine Parteientschädigung auszurichten, da ihm im vorliegenden Beschwerdeverfahren kein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