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140/2018 vom 5. April 2018</w:t>
      </w:r>
    </w:p>
    <w:p>
      <w:r>
        <w:t>Bundesgericht, 2018-04-05, IT</w:t>
      </w:r>
    </w:p>
    <w:p>
      <w:r>
        <w:rPr>
          <w:b/>
        </w:rPr>
        <w:t xml:space="preserve">Quelle: </w:t>
      </w:r>
      <w:r>
        <w:t>https://mcp.opencaselaw.ch/entscheid/bger_1C_140_2018</w:t>
      </w:r>
    </w:p>
    <w:p>
      <w:r>
        <w:t>FR: TF 1C 140/2018 du 5 avril 2018</w:t>
      </w:r>
    </w:p>
    <w:p>
      <w:r>
        <w:t>IT: TF 1C 140/2018 del 5 aprile 2018</w:t>
      </w:r>
    </w:p>
    <w:p>
      <w:pPr>
        <w:pStyle w:val="Heading2"/>
      </w:pPr>
      <w:r>
        <w:t>Regeste</w:t>
      </w:r>
    </w:p>
    <w:p>
      <w:r>
        <w:t>revoce della licenza di circolazione e sequestro delle targhe | Costruzioni stradali e circolazione stradale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istituzioni, al Consiglio di Stato e al Tribunale amministrativo del Cantone Ticino. Losanna, 5 aprile 2018 In nome della I Corte di diritto pubblico del Tribunale federale svizzero Il Presidente: Merkli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