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1C_137/2023 vom 24. März 2023</w:t>
      </w:r>
    </w:p>
    <w:p>
      <w:r>
        <w:t>Bundesgericht, 2023-03-24, DE</w:t>
      </w:r>
    </w:p>
    <w:p>
      <w:r>
        <w:rPr>
          <w:b/>
        </w:rPr>
        <w:t xml:space="preserve">Quelle: </w:t>
      </w:r>
      <w:r>
        <w:t>https://mcp.opencaselaw.ch/entscheid/bger_1C_137_2023</w:t>
      </w:r>
    </w:p>
    <w:p>
      <w:r>
        <w:t>FR: TF 1C_137/2023 du 24 mars 2023</w:t>
      </w:r>
    </w:p>
    <w:p>
      <w:r>
        <w:t>IT: TF 1C_137/2023 del 24 marzo 2023</w:t>
      </w:r>
    </w:p>
    <w:p>
      <w:pPr>
        <w:pStyle w:val="Heading2"/>
      </w:pPr>
      <w:r>
        <w:t>Erwägungen</w:t>
      </w:r>
    </w:p>
    <w:p>
      <w:r>
        <w:rPr>
          <w:b/>
        </w:rPr>
        <w:t>E. 1</w:t>
      </w:r>
    </w:p>
    <w:p>
      <w:r>
        <w:t>Die Fachstelle Administrativmassnahmen der Staats- und Jugendanwaltschaft des Kantons Glarus entzog A.________ am 10. August 2022 den Führerausweis rückwirkend ab dem 30. November 2020 auf unbestimmte Zeit und machte die Wiedererteilung des Führerausweises vom Vorliegen eines günstig lautenden verkehrsmedizinischen Gutachtens abhängig. Eine von A.________ dagegen erhobene Beschwerde wies das Verwaltungsgericht des Kantons Glarus mit Urteil vom 24. November 2022 ab. Das Urteil erwuchs unangefochten in Rechtskraft.</w:t>
      </w:r>
    </w:p>
    <w:p>
      <w:r>
        <w:rPr>
          <w:b/>
        </w:rPr>
        <w:t>E. 2</w:t>
      </w:r>
    </w:p>
    <w:p>
      <w:r>
        <w:t>Mit Eingabe vom 15. März 2023 ersuchte A.________ das Verwaltungsgericht um revisions-/wiedererwägungsweise Aufhebung des verwaltungsgerichtlichen Urteils vom 24. November 2022. Der Präsident des Verwaltungsgerichts des Kantons Glarus trat mit Verfügung vom 17. März 2023 auf das Gesuch nicht ein. Zur Begründung führte er zusammenfassend aus, dass Rechtsmittelentscheide, anders als erstinstanzliche Verfügungen, einer Wiederwägung nicht zugänglich seien, weshalb auf das Wiedererwägungsgesuch nicht einzutreten sei. A.________ zeige keine Revisionsgründe auf, weshalb auch auf das Revisionsgesuch nicht einzutreten sei. Mit seiner Eingabe ziele A.________ einzig auf eine inhaltliche Korrekur des vorgenannten Urteils ab, wofür weder eine Erläuterung noch eine Berichtigung in Frage komme.</w:t>
      </w:r>
    </w:p>
    <w:p>
      <w:r>
        <w:rPr>
          <w:b/>
        </w:rPr>
        <w:t>E. 3</w:t>
      </w:r>
    </w:p>
    <w:p>
      <w:r>
        <w:t>A.________ führt mit Eingabe vom 20. März 2023 Beschwerde in öffentlich-rechtlichen Angelegenheiten gegen die Verfügung des Verwaltungsgerichts des Kantons Glarus. Das Bundesgericht verzichtet auf die Einholung von Vernehmlassungen.</w:t>
      </w:r>
    </w:p>
    <w:p>
      <w:r>
        <w:rPr>
          <w:b/>
        </w:rPr>
        <w:t>E. 4</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setzt sich mit der Begründung des Verwaltungsgerichts, die zum Nichteintreten auf sein Gesuch vom 15. März 2023 führte, nicht auseinander. Mit seinen sachfremden Ausführungen vermag der Beschwerdeführer nicht im Einzelnen und konkret aufzuzeigen, inwiefern die Begründung des Verwaltungsgerichts bzw. dessen Verfügung selbst rechts- bzw. verfassungswidrig sein soll. Die Beschwerde genügt den Begründungsanforderungen von Art. 42 Abs. 2 BGG offensichtlich nicht, weshalb auf sie im vereinfachten Verfahren nach Art. 108 Abs. 1 BGG nicht einzutreten ist.</w:t>
      </w:r>
    </w:p>
    <w:p>
      <w:r>
        <w:rPr>
          <w:b/>
        </w:rPr>
        <w:t>E. 5</w:t>
      </w:r>
    </w:p>
    <w:p>
      <w:r>
        <w:t>Auf ein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