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1C_137/2021 vom 17. März 2021</w:t>
      </w:r>
    </w:p>
    <w:p>
      <w:r>
        <w:t>Bundesgericht, 2021-03-17, FR</w:t>
      </w:r>
    </w:p>
    <w:p>
      <w:r>
        <w:rPr>
          <w:b/>
        </w:rPr>
        <w:t xml:space="preserve">Quelle: </w:t>
      </w:r>
      <w:r>
        <w:t>https://mcp.opencaselaw.ch/entscheid/bger_1C_137_2021</w:t>
      </w:r>
    </w:p>
    <w:p>
      <w:r>
        <w:t>FR: TF 1C_137/2021 du 17 mars 2021</w:t>
      </w:r>
    </w:p>
    <w:p>
      <w:r>
        <w:t>IT: TF 1C_137/2021 del 17 marzo 2021</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l'al. 1 de cette disposition,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viole des principes fondamentaux ou comporte d'autres vices graves ( art. 84 al. 2 LTF ).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w:t>
      </w:r>
    </w:p>
    <w:p>
      <w:r>
        <w:t>En vertu de l' art. 42 al. 2 LTF , il incombe à la partie recourante de démontrer que les conditions d'entrée en matière posées à l' art. 84 LTF sont réunies ( ATF 139 IV 294 consid. 1.1 p. 297). En particulier, il ne suffit pas d'invoquer des violations des droits fondamentaux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1.2</w:t>
      </w:r>
    </w:p>
    <w:p>
      <w:r>
        <w:t>La présente cause porte certes sur la transmission de documents bancaires, soit des renseignements touchant le domaine secret. Toutefois, compte tenu de la nature des infractions poursuivies (des actes de blanchiment) et de la transmission envisagée, limitée à la documentation relative à un compte bancaire déterminé, le cas ne revêt en soi aucune importance particulière.</w:t>
      </w:r>
    </w:p>
    <w:p>
      <w:r>
        <w:rPr>
          <w:b/>
        </w:rPr>
        <w:t>E. 1.3</w:t>
      </w:r>
    </w:p>
    <w:p>
      <w:r>
        <w:t>Invoquant le principe de la proportionnalité, la recourante reproche à l'autorité d'exécution puis à la Cour des plaintes d'avoir autorisé la transmission de relevés bancaires dès 2015, alors que les transactions suspectes mentionnées par l'autorité requérante datent de janvier 2017 à janvier 2018. Cette extension ne serait pas fondée sur un examen concret permettant d'exclure une démarche exploratoire.</w:t>
      </w:r>
    </w:p>
    <w:p>
      <w:r>
        <w:t>Le Ministère public et la Cour des plaintes s'en sont toutefois tenus au contenu même de la demande d'entraide qui portait sur la documentation bancaire dès 2015. Cette requête n'a d'ailleurs rien d'excessif puisque le contrat entre la société et l'Etat maltais a été conclu en 2015 et que l'autorité requérante dispose d'un intérêt manifeste à vérifier que les transactions suspectes qu'elle a déjà identifiées n'ont pas été précédées ou suivies d'opérations du même genre. Le principe d'utilité potentielle ( ATF 121 II 241 consid. 3c p. 244; en dernier lieu: ATF 139 II 404 consid. 7.2.2) est ainsi pleinement respecté et il ne se pose aucune question de principe à ce propos.</w:t>
      </w:r>
    </w:p>
    <w:p>
      <w:r>
        <w:rPr>
          <w:b/>
        </w:rPr>
        <w:t>E. 2</w:t>
      </w:r>
    </w:p>
    <w:p>
      <w:r>
        <w:t>Faute de porter sur un cas particulièrement important, le recours est dès lors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