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1C_137/2010 vom 24. Juni 2010</w:t>
      </w:r>
    </w:p>
    <w:p>
      <w:r>
        <w:t>Bundesgericht, 2010-06-24, FR</w:t>
      </w:r>
    </w:p>
    <w:p>
      <w:r>
        <w:rPr>
          <w:b/>
        </w:rPr>
        <w:t xml:space="preserve">Quelle: </w:t>
      </w:r>
      <w:r>
        <w:t>https://mcp.opencaselaw.ch/entscheid/bger_1C_137_2010</w:t>
      </w:r>
    </w:p>
    <w:p>
      <w:r>
        <w:t>FR: TF 1C_137/2010 du 24 juin 2010</w:t>
      </w:r>
    </w:p>
    <w:p>
      <w:r>
        <w:t>IT: TF 1C_137/2010 del 24 giugno 2010</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w:t>
      </w:r>
    </w:p>
    <w:p>
      <w:r>
        <w:t>Les recourants ont pris part à la procédure de recours devant le Tribunal cantonal, en qualité de promettants-acquéreurs. Ils sont devenus propriétaires en cours de procédure, soit le 4 février 2010. Ils sont donc particulièrement touchés par l'arrêt attaqué qui annule l'autorisation de construire que la Municipalité de Lausanne leur avait délivrée, pour des motifs qu'ils tiennent pour arbitraires et contraires à la garantie de la propriété: ils peuvent ainsi se prévaloir d'un intérêt digne de protection à ce que cette décision soit annulée. Ils ont donc qualité pour agir au sens de l' art. 89 al. 1 LTF .</w:t>
      </w:r>
    </w:p>
    <w:p>
      <w:r>
        <w:t>Les autres conditions de recevabilité du recours en matière de droit public sont remplies, si bien qu'il y a lieu d'entrer en matière sur le fond.</w:t>
      </w:r>
    </w:p>
    <w:p>
      <w:r>
        <w:rPr>
          <w:b/>
        </w:rPr>
        <w:t>E. 2</w:t>
      </w:r>
    </w:p>
    <w:p>
      <w:r>
        <w:t>Les recourants se plaignent d'une constatation arbitraire des faits. Ils prétendent qu'aucun fait quelconque résultant du dossier ne peut permettre au Tribunal cantonal de retenir qu'une modification sensible de la topographie existante surviendra après les travaux de construction du projet litigieux. Ils reprochent à l'instance précédente de confondre les notions de "topographie" et de "construction". Ils soutiennent que toute l'argumentation du Tribunal cantonal est dirigée contre la construction en elle-même, sans examiner le profil du sol avant et après les travaux. Ils reprennent cette critique sous l'angle de la violation de la garantie de la propriété ancrée à l' art. 26 al. 1 Cst. et de l'autonomie communale consacrée à l' art. 139 al. 1 let . d de la Constitution vaudoise, ainsi que d'une application arbitraire du règlement communal ( art. 9 Cst. ). Dans la mesure où ces griefs conduisent à l'examen de l'application des art. 81 RPGA et 84 de la loi sur l'aménagement du territoire et les constructions du 4 décembre 1985 (LATC; RSV 700.11), ils se confondent et doivent être examinés ensemble.</w:t>
      </w:r>
    </w:p>
    <w:p>
      <w:r>
        <w:t>La question litigieuse est donc uniquement celle de savoir si le projet litigieux peut ou non bénéficier de la dérogation communale et cantonale ancrée aux art. 81 RPGA et 84 LATC. Si la Municipalité a octroyé ladite dérogation, le Tribunal cantonal a considéré au contraire que la condition requise pour l'application de cette disposition, à savoir l'absence de modification sensible du profil ou de la nature du sol, n'était pas remplie.</w:t>
      </w:r>
    </w:p>
    <w:p>
      <w:r>
        <w:rPr>
          <w:b/>
        </w:rPr>
        <w:t>E. 2.1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134 II 124 consid. 4.1 p. 133; 133 II 257 consid. 5.1 p. 260), ce qu'il appartient aux recourants de démontrer en vertu de l' art. 106 al. 2 LTF ( ATF 133 II 396 consid. 3.2 p. 400).</w:t>
      </w:r>
    </w:p>
    <w:p>
      <w:r>
        <w:t>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Il en va ainsi de l'octroi d'une dérogation en matière de construction. C'est le cas également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w:t>
      </w:r>
    </w:p>
    <w:p>
      <w:r>
        <w:rPr>
          <w:b/>
        </w:rPr>
        <w:t>E. 2.2</w:t>
      </w:r>
    </w:p>
    <w:p>
      <w:r>
        <w:t>A teneur de l'art. 84 al. 1 LATC, "le règlement communal peut prévoir que les constructions souterraines ou semi-enterrées ne sont pas prises en considération dans le calcul de la distance aux limites ou entre bâtiments et dans le coefficient d'occupation ou d'utilisation du sol". L'alinéa 2 de cette disposition précise que "cette réglementation n'est applicable que dans la mesure où le profil et la nature du sol ne sont pas sensiblement modifiés et s'il n'en résulte pas d'inconvénient pour le voisinage".</w:t>
      </w:r>
    </w:p>
    <w:p>
      <w:r>
        <w:t>L'art. 81 al. 1 RPGA prévoit quant à lui que "pour des constructions souterraines ou semi-enterrées, la municipalité peut déroger aux règles sur les distances aux limites et entre bâtiments et sur le coefficient d'occupation ou d'utilisation du sol, pour autant que la topographie existante avant l'exécution de travaux ne soit pas sensiblement modifiée". A teneur de l'alinéa 2 de cette disposition, ces constructions peuvent déborder les périmètres d'implantation (let. a) et elles n'entrent pas dans le calcul des dimensions maximales des bâtiments (let. b).</w:t>
      </w:r>
    </w:p>
    <w:p>
      <w:r>
        <w:rPr>
          <w:b/>
        </w:rPr>
        <w:t>E. 2.3</w:t>
      </w:r>
    </w:p>
    <w:p>
      <w:r>
        <w:t>En l'espèce, le Tribunal cantonal a d'abord relevé que la totalité de la façade sud du garage souterrain était entièrement dégagée sur une longueur de plus de 40 m, longueur qui se prolongerait sur un peu moins de 20 m jusqu'au chemin du Réservoir. Il a ensuite considéré que l'espace compris entre le mur du garage et les façades des bâtiments B et C comprenant deux passerelles d'accès aux deux logements prévus à l'étage supérieur présentait l'aspect d'une "fosse" partiellement ouverte au sud, de plus de 50 m de long et de 3 m de haut. Il a ajouté qu'il était impossible de descendre à pied dans cette "fosse", sinon par la rampe d'accès au garage ou par une plate-forme d'ascenseur extérieure depuis le chemin du Réservoir. L'impact visuel que provoquerait la réalisation du garage souterrain serait très importante par la conjonction de la hauteur du mur (2,8 m) et de sa longueur de plus de 50 m. Les dimensions dudit mur dépasseraient largement celles des autres murs de soutènement dans le voisinage. Ledit mur aurait en outre pour effet de créer un véritable barrage, une coupure de la parcelle en deux, et de modifier ainsi de manière déterminante la configuration des lieux, et ce même s'il était "végétalisé". Par ailleurs, le mur serait particulièrement visible depuis l'habitation sise sur la parcelle n° 3'994.</w:t>
      </w:r>
    </w:p>
    <w:p>
      <w:r>
        <w:t>Les recourants reprochent au Tribunal cantonal de ne pas avoir exposé concrètement en quoi la configuration du terrain ne serait pas préservée. Ils prétendent que l'instance précédente n'a pas analysé cet élément et soutiennent que le projet litigieux ne compromettrait ni les altitudes supérieures et inférieures de la parcelle, ni l'inclination naturelle du terrain, ni la subdivision du bien-fonds en trois parties. S'il est vrai que le Tribunal cantonal n'a pas mentionné l'altimétrie et la déclivité du terrain, il a cependant avancé suffisamment d'éléments objectifs pour admettre que la construction en cause aurait pour effet de modifier de manière sensible la topographie existante. Dans ces conditions, les critiques des recourants ne sont pas de nature à démontrer le caractère manifestement insoutenable de l'argumentation du Tribunal cantonal. Ce d'autant moins que le relevé topographique de la parcelle litigieuse, produit par les recourants, présente une dénivellation vers le sud en pente douce, sauf très localement devant le bâtiment existant: la construction en cause crée quant à elle deux terrasses parfaitement horizontales sur l'ensemble du terrain et le coupe en deux niveaux par un mur de soutènement de 57 m de long et de 2,8 de haut, ce qui a pour conséquence de modifier le profil du sol de manière sensible.</w:t>
      </w:r>
    </w:p>
    <w:p>
      <w:r>
        <w:t>Ainsi, en considérant que le projet litigieux ne permettait pas de respecter la topographie existante au sens de l'art. 81 RPGA - ou "le profil ou la nature du sol" pour reprendre les termes de l'art. 84 LATC -, le Tribunal cantonal n'a pas fait preuve d'arbitraire.</w:t>
      </w:r>
    </w:p>
    <w:p>
      <w:r>
        <w:rPr>
          <w:b/>
        </w:rPr>
        <w:t>E. 3</w:t>
      </w:r>
    </w:p>
    <w:p>
      <w:r>
        <w:t>Il s'ensuit que le recours doit être rejeté. Les recourants, qui succombent, doivent supporter les frais judiciaires ( art. 65 et 66 LTF ). Ils verseront en outre une indemnité à titre de dépens aux intimés, qui ont eu recours à 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