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1C_136/2020 vom 10. März 2020</w:t>
      </w:r>
    </w:p>
    <w:p>
      <w:r>
        <w:t>Bundesgericht, 2020-03-10, DE</w:t>
      </w:r>
    </w:p>
    <w:p>
      <w:r>
        <w:rPr>
          <w:b/>
        </w:rPr>
        <w:t xml:space="preserve">Quelle: </w:t>
      </w:r>
      <w:r>
        <w:t>https://mcp.opencaselaw.ch/entscheid/bger_1C_136_2020</w:t>
      </w:r>
    </w:p>
    <w:p>
      <w:r>
        <w:t>FR: TF 1C_136/2020 du 10 mars 2020</w:t>
      </w:r>
    </w:p>
    <w:p>
      <w:r>
        <w:t>IT: TF 1C_136/2020 del 10 marzo 2020</w:t>
      </w:r>
    </w:p>
    <w:p>
      <w:pPr>
        <w:pStyle w:val="Heading2"/>
      </w:pPr>
      <w:r>
        <w:t>Erwägungen</w:t>
      </w:r>
    </w:p>
    <w:p>
      <w:r>
        <w:rPr>
          <w:b/>
        </w:rPr>
        <w:t>E. 1</w:t>
      </w:r>
    </w:p>
    <w:p>
      <w:r>
        <w:t>A.________ stellte dem Zürcher Verwaltungsgericht wiederholt Eingaben "betreffend seine Fahrerlaubnis" zu. Der Aufforderung des Gerichts, ihm mitzuteilen, gegen welchen Entscheid sich seine Eingaben richten und diesen einzureichen, kam A.________ nicht nach.</w:t>
      </w:r>
    </w:p>
    <w:p>
      <w:r>
        <w:t>Am 26. Februar 2020 trat das Verwaltungsgericht auf die Beschwerde von A.________ nicht ein.</w:t>
      </w:r>
    </w:p>
    <w:p>
      <w:r>
        <w:t>Mit Eingabe vom 4. März 2020 erhebt A.________ dagegen Beschwerde.</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Diesen Begründungsanforderungen genügt die Beschwerde offenkundig nicht. Sie enthält weder einen Antrag noch irgendwelche Ausführungen, inwiefern der angefochtene Entscheid Bundesrecht verletzt. Auch aus ihr ergibt sich im Übrigen nicht, gegen welchen Entscheid sich der Beschwerdeführer ursprünglich zur Wehr setzen wollte. Auf die Beschwerde ist wegen Verletzung der gesetzlichen Begründungspflicht im vereinfachten Verfahren nicht einzutreten.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