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1C_136/2015 vom 20. August 2015</w:t>
      </w:r>
    </w:p>
    <w:p>
      <w:r>
        <w:t>Bundesgericht, 2015-08-20, FR</w:t>
      </w:r>
    </w:p>
    <w:p>
      <w:r>
        <w:rPr>
          <w:b/>
        </w:rPr>
        <w:t xml:space="preserve">Quelle: </w:t>
      </w:r>
      <w:r>
        <w:t>https://mcp.opencaselaw.ch/entscheid/bger_1C_136_2015</w:t>
      </w:r>
    </w:p>
    <w:p>
      <w:r>
        <w:t>FR: TF 1C_136/2015 du 20 août 2015</w:t>
      </w:r>
    </w:p>
    <w:p>
      <w:r>
        <w:t>IT: TF 1C_136/2015 del 20 agosto 2015</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Dans un premier moyen, le recourant se plaint d'une violation du principe de l'égalité des armes en tant que l'instance précédente n'aurait pas procédé à l'audition orale contradictoire de son épouse. Tel qu'il l'invoque, son grief équivaut à celui de la violation de son droit d'être entendu garanti par l' art. 29 al. 2 Cst. Dans un deuxième moyen, il invoque également une violation de ce droit constitutionnel dans la mesure où ses offres de preuves - audition de divers témoins - auraient été refusées. Selon le recourant, ce refus de procéder auxdites auditions serait également constitutif d'une violation de la maxime inquisitoire ( art. 12 PA ). En substance, le recourant soutient que ces auditions étaient nécessaires pour clarifier certains faits pertinents, à savoir les fausses accusations de vol portées à son encontre par son épouse, les motifs ayant poussé cette dernière à le dénoncer en 2011 et la bonne foi des époux au moment de la signature de la déclaration de 2008.</w:t>
      </w:r>
    </w:p>
    <w:p>
      <w:r>
        <w:rPr>
          <w:b/>
        </w:rPr>
        <w:t>E. 2.1</w:t>
      </w:r>
    </w:p>
    <w:p>
      <w:r>
        <w:t>Le droit d'être entendu garanti à l' art. 29 al. 2 Cst. comprend notamment le droit pour l'intéressé de faire administrer les preuves proposées pour autant qu'elles apparaissent utiles à l'établissement des faits pertinents ( ATF 140 I 285 consid. 6.3.1 p. 299 et les réf. cit.). En procédure administrative fédérale, cette garantie constitutionnelle est concrétisée en particulier par les art. 12 ss et 29 ss PA . Selon l' art. 12 PA , l'autorité constate les faits d'office et procède s'il y a lieu à l'administration de preuves.</w:t>
      </w:r>
    </w:p>
    <w:p>
      <w:r>
        <w:t>L'autorité peut donc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réf. cit.; sur la notion d'arbitraire, voir ATF 132 I 13 consid. 5.1 p. 17).</w:t>
      </w:r>
    </w:p>
    <w:p>
      <w:r>
        <w:rPr>
          <w:b/>
        </w:rPr>
        <w:t>E. 2.2</w:t>
      </w:r>
    </w:p>
    <w:p>
      <w:r>
        <w:t>En l'occurrence, il ressort du dossier que le recourant a été informé par écrit par l'ODM de l'audition de son épouse et de la possibilité qu'il avait d'y assister. Celui-ci n'a toutefois pas exprimé sa volonté d'y participer. De plus, l'ODM a transmis au recourant le procès-verbal de l'audition en question en lui donnant l'opportunité de se déterminer à ce sujet. L'intéressé a déposé ses observations le 21 juin 2013, sans invoquer avoir été privé de la possibilité d'assister à cette audition, ni demander à ce qu'il soit procédé à une nouvelle audition de son épouse en sa présence. Ce n'est que dans le cadre de la procédure de recours qu'il a formellement requis l'audition de son épouse - sans toutefois exiger une procédure contradictoire - ainsi que celle de différents témoins. Il est dès lors douteux qu'il puisse se plaindre du fait que l'instance précédente n'ait pas procédé à une confrontation entre les époux, ni à l'audition des témoins.</w:t>
      </w:r>
    </w:p>
    <w:p>
      <w:r>
        <w:t>Quoi qu'il en soit, ces griefs doivent être écartés. En effet, comme relevé par l'instance précédente, la procédure de recours régie par la PA est en principe écrite. En effet, ni l' art. 29 PA , ni l' art. 29 Cst. ne donne à celui qui est partie à une procédure administrative le droit d'être entendu oralement (cf. ATF 134 I 140 consid. 5.3 p. 148 ; cf. également Waldmann/Bickel, in Praxiskommentar zum VwVG, Waldmann/Weissenberger [éd.], 2009, n° 84 ad art. 29 PA ). En outre, selon l' art. 14 PA , il n'est procédé à l'audition de témoins que si cette mesure paraît indispensable à l'établissement des faits de la cause (cf. ATF 130 II 169 consid. 2.3.3 p. 173). Or, dans le cas d'espèce, le recourant s'est déterminé par écrit à plusieurs reprises sur le contenu de l'audition de son épouse; il a également produit devant l'instance précédente des déclarations écrites de tiers. Le recourant n'explique en outre pas ce que des commentaires oraux supplémentaires de ces témoins auraient apporté en plus dans la présente cause par rapport à leurs déclarations écrites. Il ne parvient pas non plus à démontrer en quoi des précisions supplémentaires de son épouse seraient susceptibles de modifier l'appréciation de l'instance précédente. Enfin, comme cela sera exposé ci-dessous, le Tribunal administratif fédéral pouvait sans arbitraire considérer que les faits pertinents étaient suffisamment établis par les pièces figurant au dossier, sans qu'il soit nécessaire de donner suite aux requêtes de preuve du recourant (cf. infra consid. 4.2 et 4.3). Le refus de procéder aux auditions sollicitées ne contrevient donc pas au droit d'être entendu du recourant, ni à la maxime inquisitoire.</w:t>
      </w:r>
    </w:p>
    <w:p>
      <w:r>
        <w:rPr>
          <w:b/>
        </w:rPr>
        <w:t>E. 3</w:t>
      </w:r>
    </w:p>
    <w:p>
      <w:r>
        <w:t>Le recourant reproche ensuite à l'instance précédente d'avoir établi de manière arbitraire les faits. Il émet également quelques critiques concernant l'établissement des faits à l'occasion de son grief tiré de la violation de la maxime inquisitoire.</w:t>
      </w:r>
    </w:p>
    <w:p>
      <w:r>
        <w:rPr>
          <w:b/>
        </w:rPr>
        <w:t>E. 3.1</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c'est-à-dire arbitraire ( ATF 137 I 58 consid. 4.1.2 p. 62)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3.2</w:t>
      </w:r>
    </w:p>
    <w:p>
      <w:r>
        <w:t>En l'occurrence, l'écriture du recourant ne comporte aucune démonstration du caractère arbitraire de l'état de fait qui satisferait aux exigences de motivation précitées. En effet, l'intéressé se contente d'affirmer, de manière purement appellatoire, que le projet de requête commune en divorce est daté du mois de juin 2011, que le mariage des époux était un mariage d'amour, qu'il était sincèrement épris de son épouse, qu'il était sincère lors de la signature de la déclaration en 2008, qu'il a été surpris par la fin brutale de leur relation due aux fausses accusations de vol, qu'il a eu de la peine à se remettre de la rupture et qu'il est respectueux des lois. Sa critique apparaît dès lors irrecevable et il n'y a pas lieu de prendre en considération d'autres faits que ceux retenus dans l'arrêt entrepris.</w:t>
      </w:r>
    </w:p>
    <w:p>
      <w:r>
        <w:rPr>
          <w:b/>
        </w:rPr>
        <w:t>E. 4</w:t>
      </w:r>
    </w:p>
    <w:p>
      <w:r>
        <w:t>Enfin, le recourant invoque une application arbitraire du droit. Il conteste en substance avoir obtenu la naturalisation par des déclarations mensongères.</w:t>
      </w:r>
    </w:p>
    <w:p>
      <w:r>
        <w:rPr>
          <w:b/>
        </w:rPr>
        <w:t>E. 4.1</w:t>
      </w:r>
    </w:p>
    <w:p>
      <w:r>
        <w:t>Conformément à l'art. 41 al. 1 de la loi fédérale sur la nationalité du 29 septembre 1952 (LN; RS 141.0), l'ODM peut, avec l'assentiment de l'autorité du canton d'origine, annuler la naturalisation ou la réintégration obtenue par des déclarations mensongères ou la dissimulation de faits essentiels.</w:t>
      </w:r>
    </w:p>
    <w:p>
      <w:r>
        <w:rPr>
          <w:b/>
        </w:rPr>
        <w:t>E. 4.1.1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4.1.2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4.2</w:t>
      </w:r>
    </w:p>
    <w:p>
      <w:r>
        <w:t>En l'espèce, le Tribunal administratif fédéral a notamment relevé que le recourant avait rencontré son épouse en Suisse en décembre 2001 alors qu'il y séjournait au bénéfice d'une autorisation de séjour pour étudiants, qu'il s'était marié le 23 mars 2004, qu'il avait déposé une demande de naturalisation facilitée le 26 mai 2007, qu'il avait signé la déclaration de vie commune le 30 septembre 2008, qu'il avait obtenu la naturalisation le 20 novembre 2008, que les époux avaient préparé un projet de requête commune en divorce au mois de juin 2010 et qu'ils n'avaient plus fait domicile commun depuis le 21 juillet 2010, date de l'annonce faite officiellement auprès des autorités genevoises compétentes. Quoi qu'en pense le recourant, l'instance précédente pouvait à juste titre considérer que l'enchaînement chronologique des événements, en particulier la séparation du couple intervenue 19 mois après l'octroi de la naturalisation, était de nature à fonder la présomption que celle-ci avait été obtenue frauduleusement (cf. notamment arrêts du Tribunal fédéral 1C_796/2013 du 13 mars 2014 consid. 3.2 et 1C_172/2012 du 11 mai 2012 consid. 2.3). C'est d'ailleurs en vain que le recourant conteste ce mécanisme de présomption, qui a été maintes fois confirmé par la jurisprudence (cf. supra consid. 4.1.2).</w:t>
      </w:r>
    </w:p>
    <w:p>
      <w:r>
        <w:t>Pour les premiers juges, cette présomption était renforcée notamment par le fait que le recourant, à peine son mariage célébré, avait entretenu dans son pays d'origine des relations intimes non protégées avec une ancienne amie, qui avaient débouché sur la naissance d'un enfant adultérin en février 2005, ainsi que par l'absence de volonté de sauver l'union matrimoniale. L'instance précédente pouvait, sans violer le droit fédéral, prendre en compte ces éléments dans son appréciation.</w:t>
      </w:r>
    </w:p>
    <w:p>
      <w:r>
        <w:t>Conformément à la jurisprudence précitée, il convient à présent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4.3</w:t>
      </w:r>
    </w:p>
    <w:p>
      <w:r>
        <w:t>En l'espèce, le recourant soutient qu'il était de bonne foi au moment de la signature de la déclaration de vie commune en septembre 2008. Il fait en particulier grief à l'instance précédente de ne pas avoir cherché à établir la possibilité raisonnable qu'il était de bonne foi. Ce faisant le recourant perd de vue que, conformément à la jurisprudence rappelée précédemment, une fois la présomption établie par l'autorité, il appartient à l'intéressé de faire admettre l'existence d'une possibilité raisonnable qu'il n'ait pas menti. En l'occurrence, les explications du recourant selon lesquelles il était sincère au moment déterminant ne sont pas convaincantes. Contrairement à ce que soutient le recourant, l'instance précédente ne s'est pas basée uniquement sur les déclarations de son épouse - qu'il conteste - selon lesquelles les difficultés avaient commencé en 2004 pour s'empirer en 2005 et que la question d'une séparation ou d'un divorce avait même été évoquée en 2007 et 2008. L'instance précédente s'est en effet également fondée sur les déclarations du recourant: celui-ci a notamment admis que des "événements houleux" étaient intervenus en 2005 suite à la naissance de son enfant adultérin (cf. mémoire de recours), précisant qu'ils avaient connu, comme tout couple, des difficultés qu'ils avaient essayé de résoudre et qu'il y avait eu "des moments où l'agressivité de son épouse l'a[vait] amené à lui signifier qu'il ne la supportait plus et qu'il souhaitait la quitter" (cf. déterminations du 21 juin 2013). Dans ces conditions, l'instance précédente pouvait à bon droit retenir qu'il était peu vraisemblable que l'intéressé ignorait, au moment de l'octroi de la naturalisation facilitée, les problèmes conjugaux qui allaient conduire son couple à la rupture au mois de juin 2010 (cf. arrêt entrepris consid. 7.3.1). Le recourant se prévaut par ailleurs en vain des témoignages écrits de tiers censés attester de la qualité de la communauté conjugale des époux; au vu des éléments précités, ils ne sont pas en mesure d'affaiblir la présomption établie.</w:t>
      </w:r>
    </w:p>
    <w:p>
      <w:r>
        <w:t>Le recourant n'avance en outre aucun élément probant susceptible d'expliquer une soudaine dégradation du lien conjugal dix-neuf mois après l'octroi de la naturalisation. En particulier, l'instance précédente pouvait, sans arbitraire, considérer qu'il n'était pas vraisemblable que la fausse accusation de vol portée à son encontre par son épouse ait été de nature à provoquer, à elle seule, la désunion du couple en à peine quatre mois, alors que, selon le recourant, il continuait à avoir des activités et des projets communs avec son épouse après sa naturalisation. Sur ce point, il peut être renvoyé à l'argumentation pertinente développée par le Tribunal administratif fédéral (cf. arrêt entrepris consid. 7.4; art. 109 al. 3 LTF ).</w:t>
      </w:r>
    </w:p>
    <w:p>
      <w:r>
        <w:t>C'est ainsi sans violer le droit fédéral, en particulier l' art. 41 LN , que le Tribunal administratif fédéral a confirmé l'annulation de la naturalisation facilitée octroyée au recourant.</w:t>
      </w:r>
    </w:p>
    <w:p>
      <w:r>
        <w:rPr>
          <w:b/>
        </w:rPr>
        <w:t>E. 5</w:t>
      </w:r>
    </w:p>
    <w:p>
      <w:r>
        <w:t>Sur le vu de ce qui précède, le recours doit être rejeté dans la mesure de sa recevabilité. Dès lors que le recourant est dans le besoin et que ses conclusions ne paraissaient pas d'emblée vouées à l'échec, sa requête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