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136/2007 vom 24. September 2007</w:t>
      </w:r>
    </w:p>
    <w:p>
      <w:r>
        <w:t>Bundesgericht, 2007-09-24, DE</w:t>
      </w:r>
    </w:p>
    <w:p>
      <w:r>
        <w:rPr>
          <w:b/>
        </w:rPr>
        <w:t xml:space="preserve">Quelle: </w:t>
      </w:r>
      <w:r>
        <w:t>https://mcp.opencaselaw.ch/entscheid/bger_1C_136_2007</w:t>
      </w:r>
    </w:p>
    <w:p>
      <w:r>
        <w:t>FR: TF 1C 136/2007 du 24 septembre 2007</w:t>
      </w:r>
    </w:p>
    <w:p>
      <w:r>
        <w:t>IT: TF 1C 136/2007 del 24 settembre 2007</w:t>
      </w:r>
    </w:p>
    <w:p>
      <w:pPr>
        <w:pStyle w:val="Heading2"/>
      </w:pPr>
      <w:r>
        <w:t>Regeste</w:t>
      </w:r>
    </w:p>
    <w:p>
      <w:r>
        <w:t>Baubewilligungspflicht für eine automatische Vogelschutzanlage | Ökologisches Gleichgewicht</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1.2</w:t>
      </w:r>
    </w:p>
    <w:p>
      <w:r>
        <w:t>Das angefochtene Urteil des Verwaltungsgerichts, einer letzten kantonalen Instanz ( Art. 86 Abs. 1 lit. d BGG ), betrifft die Baubewilligungspflicht einer Vogelschutzanlage, mithin eine öffentlich-rechtliche Angelegenheit im Sinne von Art. 82 lit. a BGG . Ein Ausschlussgrund nach Art. 83 BGG liegt nicht vor. Indes handelt es sich beim angefochtenen Urteil um einen Zwischenentscheid: Mit der Bejahung der Baubewilligungspflicht wird das Verfahren nicht abgeschlossen, sondern sinngemäss an die erste Instanz zurückgewiesen zur Durchführung des ordentlichen Baubewilligungsverfahrens. 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verankerte Regelung wieder (vgl. Botschaft zum BGG in BBl 2001 S. 4334; siehe dazu auch das zur Publikation vorgesehene Urteil 1B_88/2007 vom 12. September 2007, E. 3.2), welche für das zivilrechtliche Verfahren vor Bundesgericht galt. Ob die Voraussetzungen von Art. 93 Abs. 1 lit. b BGG erfüllt sind, prüft das Bundesgericht frei (vgl. BGE 118 II 91 E. 1a S. 92). Würde das Bundesgericht vorliegend in Gutheissung der Beschwerde die Baubewilligungspflicht für die Vogelschutzanlage verneinen, wäre das Verfahren endgültig abgeschlossen und dem Beschwerdeführer bliebe der gesamte mit einem Baugesuchsverfahren verbundene Aufwand erspart. Demzufolge ist von einem Anwendungsfall von Art. 93 Abs. 1 lit. b BGG auszugehen.</w:t>
      </w:r>
    </w:p>
    <w:p>
      <w:r>
        <w:rPr>
          <w:b/>
        </w:rPr>
        <w:t>E. 1.3</w:t>
      </w:r>
    </w:p>
    <w:p>
      <w:r>
        <w:t>Der Beschwerdeführer wendet sich gegen die vom Verwaltungsgericht bejahte Baubewilligungspflicht seiner Vogelschutzanlage. Dazu ist er legitimiert (siehe zur Legitimation nach Art. 89 Abs. 1 BGG BGE 133 II 249 E. 1.3.3). Die Beschwerde wurde rechtzeitig ( Art. 100 Abs. 1 BGG ) erhoben. Insoweit sind die Eintretensvoraussetzungen erfüllt.</w:t>
      </w:r>
    </w:p>
    <w:p>
      <w:r>
        <w:rPr>
          <w:b/>
        </w:rPr>
        <w:t>E. 1.4</w:t>
      </w:r>
    </w:p>
    <w:p>
      <w:r>
        <w:t>Vorbehalten bleibt, dass die einzelnen vorgebrachten Rügen von den Beschwerdeführern rechtsgenüglich begründet worden sind.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(vgl. die Botschaft, BBl 2001 S. 4344; BGE 133 II 249 E. 1.4.2).</w:t>
      </w:r>
    </w:p>
    <w:p>
      <w:r>
        <w:rPr>
          <w:b/>
        </w:rPr>
        <w:t>E. 2</w:t>
      </w:r>
    </w:p>
    <w:p>
      <w:r>
        <w:t>Der Beschwerdeführer rügt, das Verwaltungsgericht habe das rechtliche Gehör verletzt, indem es auf einen Augenschein verzichtet habe.</w:t>
      </w:r>
    </w:p>
    <w:p>
      <w:r>
        <w:rPr>
          <w:b/>
        </w:rPr>
        <w:t>E. 2.1</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rPr>
          <w:b/>
        </w:rPr>
        <w:t>E. 2.2</w:t>
      </w:r>
    </w:p>
    <w:p>
      <w:r>
        <w:t>Das aargauische Recht kennt keine explizite Norm zur Durchführung von Augenscheinen. § 20 Abs. 1 des Gesetzes über die Verwaltungsrechtspflege vom 9. Juli 1968 (VRPG/AG; SAR 271.100) sieht lediglich vor, dass die Behörden den Sachverhalt unter Beachtung der Vorbringen der Beteiligten von Amtes wegen prüfen und die hiezu notwendigen Ermittlungen anstellen. Sie würdigen das Ergebnis der Untersuchung frei und wenden das Recht von Amtes wegen an.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(Alfred Kölz/Jürg Bosshart/Martin Röhl, Kommentar zum Verwaltungsrechtspflegegesetz des Kantons Zürich, 2. Aufl. 1999, § 7 N. 42). Im vorliegenden Fall befinden sich diverse Pläne, mehrere Fotos vom mit der Vogelschutzanlage ausgerüsteten Rebberg Hörnli sowie u.a. ein Prospekt mit Beschrieb der "Electronic Obst- und Rebschutzanlage" in den Akten. Das Verwaltungsgericht konnte sich daraus ein hinreichend klares Bild vom Umfang, der Beschaffenheit und der Art der strittigen Anlage machen. Wenn es von einem zusätzlichen Augenschein abgesehen hat, ist dies verfassungsrechtlich nicht zu beanstanden.</w:t>
      </w:r>
    </w:p>
    <w:p>
      <w:r>
        <w:rPr>
          <w:b/>
        </w:rPr>
        <w:t>E. 3</w:t>
      </w:r>
    </w:p>
    <w:p>
      <w:r>
        <w:t>Dem Verwaltungsgericht ist auch keine Verletzung von Bundesrecht vorzuwerfen, wenn es für die Installation einer Vogelschutzanlage ein Baugesuch verlangt. Was der Beschwerdeführer dagegen vorbringt, überzeugt im Lichte von Art. 22 Abs. 1 RPG und der dazu bestehenden Rechtsprechung des Bundesgerichtes nicht (siehe dazu etwa Urteil 1A.202/2003 des Bundesgerichts vom 17. Februar 2004, E. 3.2 u. 3.3, in: ZBl 107/2006 S. 323; 1A.405/1996 vom 9. September 1997, E. 3b mit Hinweisen in: URP 1997 S. 577; grundlegend BGE 113 Ib 314 E. 2b S. 315 f.; vgl. auch BGE 123 II 256 E. 3 S. 259; 120 Ib 379 E. 3c S. 383 f., 118 Ib 49 E. 2a S. 52). Er verkennt offensichtlich, dass sich das Verwaltungsgericht mit der Unterstellung der Anlage unter die Baubewilligungspflicht noch nicht über deren Bewilligungsfähigkeit geäussert hat. Zudem kann er sich nicht auf die Bewilligungspraxis in anderen Kantonen berufen. Es kann vollumfänglich auf die zutreffenden Ausführungen im angefochtenen Entscheid verwiesen werden. Weitere Erwägungen hierzu erübrigen sich ( Art. 109 Abs. 3 BGG ).</w:t>
      </w:r>
    </w:p>
    <w:p>
      <w:r>
        <w:rPr>
          <w:b/>
        </w:rPr>
        <w:t>E. 4</w:t>
      </w:r>
    </w:p>
    <w:p>
      <w:r>
        <w:t>Soweit der Beschwerdeführer sinngemäss eine Verletzung von Verfassungsrecht geltend macht, vermag die Beschwerde den Begründungsanforderungen nicht zu genügen. Inwiefern die Anwendung des kantonalen Rechts willkürlich sein soll, legt er nicht rechtsgenüglich dar. Seine Ausführungen erschöpfen sich weitgehend in appellatorischer Kritik und in gegen den Beschwerdegegner gerichteten Vorwürfen; damit ist er nicht zu hören.</w:t>
      </w:r>
    </w:p>
    <w:p>
      <w:r>
        <w:rPr>
          <w:b/>
        </w:rPr>
        <w:t>E. 5</w:t>
      </w:r>
    </w:p>
    <w:p>
      <w:r>
        <w:t>Daraus ergibt sich, dass die Beschwerde abzuweisen ist, soweit darauf eingetreten werden kann. Bei diesem Ausgang trägt der Beschwerdeführer die Gerichtskosten ( Art. 66 Abs. 1 BGG ). Er hat dem Beschwerdegegner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