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1C_135/2015 vom 17. September 2015</w:t>
      </w:r>
    </w:p>
    <w:p>
      <w:r>
        <w:t>Bundesgericht, 2015-09-17, FR</w:t>
      </w:r>
    </w:p>
    <w:p>
      <w:r>
        <w:rPr>
          <w:b/>
        </w:rPr>
        <w:t xml:space="preserve">Quelle: </w:t>
      </w:r>
      <w:r>
        <w:t>https://mcp.opencaselaw.ch/entscheid/bger_1C_135_2015</w:t>
      </w:r>
    </w:p>
    <w:p>
      <w:r>
        <w:t>FR: TF 1C_135/2015 du 17 septembre 2015</w:t>
      </w:r>
    </w:p>
    <w:p>
      <w:r>
        <w:t>IT: TF 1C_135/2015 del 17 settembre 2015</w:t>
      </w:r>
    </w:p>
    <w:p>
      <w:pPr>
        <w:pStyle w:val="Heading2"/>
      </w:pPr>
      <w:r>
        <w:t>Erwägungen</w:t>
      </w:r>
    </w:p>
    <w:p>
      <w:r>
        <w:rPr>
          <w:b/>
        </w:rPr>
        <w:t>E. 1</w:t>
      </w:r>
    </w:p>
    <w:p>
      <w:r>
        <w:t>Dirigé contre une décision prise en dernière instance cantonale dans une cause de droit public, le recours est en principe recevable comme recours en matière de droit public conformément aux art. 82 ss LTF , aucune des exceptions prévues à l' art. 83 LTF n'étant réalisée. La recourante, qui a pris part à la procédure devant le Tribunal cantonal, est particulièrement touchée par l'arrêt attaqué qui modifie la répartition des terrains qui lui sont attribués dans le cadre du remaniement parcellaire. Elle est atteinte de la même manière qu'un particulier dans sa situation matérielle, notamment dans la situation de son patrimoine, et a donc qualité pour recourir conformément à l' art. 89 al. 1 LTF .</w:t>
      </w:r>
    </w:p>
    <w:p>
      <w:r>
        <w:t>Les autres conditions de recevabilité sont réunies, si bien qu'il y a lieu d'entrer en matière sur le recours.</w:t>
      </w:r>
    </w:p>
    <w:p>
      <w:r>
        <w:rPr>
          <w:b/>
        </w:rPr>
        <w:t>E. 2</w:t>
      </w:r>
    </w:p>
    <w:p>
      <w:r>
        <w:t>La recourante se plaint d'une violation de son droit d'être entendue au motif que sa situation avant et après remaniement, au contraire de celle de l'intimée, n'a pas été examinée dans le détail par les premiers juges. Elle requiert à cet égard que l'état de fait soit complété quant à la valeur et à la surface totale des terrains qu'elle reçoit.</w:t>
      </w:r>
    </w:p>
    <w:p>
      <w:r>
        <w:t>Tel qu'il est garanti par l' art. 29 al. 2 Cst. , le droit d'être entendu comprend en particulier le devoir, pour l'autorité, de motiver sa décision, afin que le justiciable puisse la comprendre, la contester utilement s'il y a lieu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138 IV 81 consid. 2.2 p. 84; 134 I 83 consid. 4.1 p. 88 et les arrêts cités).</w:t>
      </w:r>
    </w:p>
    <w:p>
      <w:r>
        <w:t>Comme le relève l'intimée, l'arrêt cantonal décrit certains éléments afférents à la nouvelle situation de la recourante. Il ne détaille en revanche effectivement pas les surfaces et natures de l'ancien et du nouvel état de la recourante. Celle-ci ne démontre toutefois pas en quoi cette information serait pertinente dans l'examen du bien-fondé de l'échange de parcelles. Au demeurant, les griefs matériels dirigés contre l'arrêt cantonal ne se réfèrent eux-mêmes pas aux états parcellaires de la recourante avant et après répartition. La motivation de l'arrêt attaqué n'est par conséquent pas incomplète.</w:t>
      </w:r>
    </w:p>
    <w:p>
      <w:r>
        <w:rPr>
          <w:b/>
        </w:rPr>
        <w:t>E. 3</w:t>
      </w:r>
    </w:p>
    <w:p>
      <w:r>
        <w:t>La recourante se plaint d'arbitraire dans l'application du droit cantonal. Les premiers juges auraient selon elle statué en opportunité, ce en violation du droit cantonal. En ne limitant pas leur examen à la légalité, ils se seraient indûment substitués à la Commission de classification.</w:t>
      </w:r>
    </w:p>
    <w:p>
      <w:r>
        <w:rPr>
          <w:b/>
        </w:rPr>
        <w:t>E. 3.1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Dans ce contexte, la partie recourante est soumise aux exigences accrues de motivation de l' art. 106 al. 2 LTF .</w:t>
      </w:r>
    </w:p>
    <w:p>
      <w:r>
        <w:rPr>
          <w:b/>
        </w:rPr>
        <w:t>E. 3.2</w:t>
      </w:r>
    </w:p>
    <w:p>
      <w:r>
        <w:t>La cour cantonale a fondé son raisonnement sur l'art. 55 LAF et la jurisprudence qui s'y rapporte. Selon cette disposition, les règles suivantes sont applicables pour la répartition des immeubles (al. 1) :</w:t>
      </w:r>
    </w:p>
    <w:p>
      <w:r>
        <w:t>a.       Chaque propriétaire doit recevoir, autant que possible, en échange des immeubles qu'il doit abandonner, des immeubles de même nature et de même valeur. Si un propriétaire ne reçoit pas l'équivalent de l'immeuble cédé, la différence en plus ou en moins est compensée par une soulte en argent.</w:t>
      </w:r>
    </w:p>
    <w:p>
      <w:r>
        <w:t>b.       Les immeubles doivent être regroupés d'une manière intensive.</w:t>
      </w:r>
    </w:p>
    <w:p>
      <w:r>
        <w:t>c.       Les nouveaux biens-fonds doivent, autant que possible, être de forme régulière et avoir accès à un chemin au moins.</w:t>
      </w:r>
    </w:p>
    <w:p>
      <w:r>
        <w:t>d.       Si, exceptionnellement, après remaniement parcellaire, un domaine subit une moins-value, la commission de classification offre à son propriétaire une compensation en terrain ou alloue à celui-ci une indemnité équitable en argent.</w:t>
      </w:r>
    </w:p>
    <w:p>
      <w:r>
        <w:t>Selon la jurisprudence cantonale à laquelle se sont référés les premiers juges, le principe de regroupement des terres de l'art. 55 al. 1 let. b LAF est l'objectif principal du remaniement parcellaire. Par ailleurs, le fait pour des exploitants de devoir cultiver, après le nouvel état, des fonds présentant une qualité différente de leurs anciennes parcelles est un élément inhérent au remaniement parcellaire; ce n'est que si la nature des terres entre l'ancien et le nouvel état présente des différences importantes, impliquant des changements dans le mode d'exploitation de l'entreprise, que la règle de l'attribution des terres de même nature se trouve violée. Enfin, la jurisprudence cantonale considère que la localisation des terres dans l'ancien état n'est pas déterminante pour l'attribution dans le nouvel état.</w:t>
      </w:r>
    </w:p>
    <w:p>
      <w:r>
        <w:t>Fondée sur ces dispositions et ces principes, la cour cantonale a inversé la répartition des biens-fonds entre la recourante et l'intimée, en ce sens que la seconde devait recevoir la parcelle n° 1080, plus proche de son centre d'exploitation que la parcelle n° 1104. Il s'agissait ainsi de contribuer à atteindre l'objectif principal mentionné aux art. 1 et 55 al. 1 let. b LAF, à savoir le regroupement intensif des immeubles. A l'inverse, le souhait de la commune de Mathod d'obtenir une parcelle proche du village en vue d'une extension éventuelle de la zone à bâtir ne répondait à aucun objectif de la LAF et ne pouvait par conséquent pas être cautionné.</w:t>
      </w:r>
    </w:p>
    <w:p>
      <w:r>
        <w:rPr>
          <w:b/>
        </w:rPr>
        <w:t>E. 3.3</w:t>
      </w:r>
    </w:p>
    <w:p>
      <w:r>
        <w:t>Dans ces conditions, c'est bel et bien sur la base d'un examen en légalité - et non en opportunité comme le soutient de manière appellatoire la recourante - que la cour cantonale a statué. En d'autres termes, à une répartition des deux parcelles litigieuses ne répondant pas aux objectifs fixés par la loi, le Tribunal cantonal a substitué une solution contribuant auxdits objectifs. Ce faisant, il a pris soin de s'assurer que les autres principes prévus par le droit cantonal, en particulier celui de l'équivalence, demeuraient respectés. La recourante ne soutient au reste pas que la jurisprudence accordant la priorité au principe de regroupement serait non conforme à la LAF. Elle se borne à exposer que le fragile équilibre de la péréquation foncière a été brisé et que la situation des deux parcelles litigieuses ne peut être réglée en marge de l'appréciation d'ensemble du remaniement. Elle ne précise toutefois pas en quoi cet équilibre serait perturbé ni quels autres éléments devaient être pris en considération. Elle ne démontre par conséquent aucun arbitraire dans l'appréciation des premiers juges selon laquelle la solution initiale sortait du cadre légal en tant qu'elle ne garantissait pas au mieux les objectifs fixés par la loi.</w:t>
      </w:r>
    </w:p>
    <w:p>
      <w:r>
        <w:rPr>
          <w:b/>
        </w:rPr>
        <w:t>E. 4</w:t>
      </w:r>
    </w:p>
    <w:p>
      <w:r>
        <w:t>La recourante se plaint ensuite d'une inégalité de traitement.</w:t>
      </w:r>
    </w:p>
    <w:p>
      <w:r>
        <w:rPr>
          <w:b/>
        </w:rPr>
        <w:t>E. 4.1</w:t>
      </w:r>
    </w:p>
    <w:p>
      <w:r>
        <w:t>Le droit à l'égalité de traitement ( art. 8 Cst. ), alors qu'il n'a en général qu'une portée restreinte en matière d'aménagement du territoire, a une importance plus grande dans le domaine des améliorations foncières, où les investissements des collectivités publiques créent des plus-values substantielles. Le droit à l'égalité est toutefois relativisé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la 21 consid. 1b p. 25 s.; 105 la 324 consid. 2c p. 326 s.; arrêt 1C_42/2011 du 27 juin 2011 consid. 3.2). S'il apparaît que la situation d'un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être annulée pour arbitraire. Le Tribunal fédéral fait preuve de retenue dans l'examen de questions qui relèvent des circonstances locales, voire d'aspects techniques, que les autorités cantonales sont censées mieux connaître que lui (ATF 119 la 21 consid. 1c p. 26; 105 la 324 consid. 2b et 2e p. 326 s. et les arrêts cités; arrêt 1C_42/2011 du 27 juin 2011 consid. 3.2).</w:t>
      </w:r>
    </w:p>
    <w:p>
      <w:r>
        <w:rPr>
          <w:b/>
        </w:rPr>
        <w:t>E. 4.2</w:t>
      </w:r>
    </w:p>
    <w:p>
      <w:r>
        <w:t>En l'espèce, la commune fait valoir qu'il n'y a pas lieu d'opérer une distinction du fait de sa qualité de collectivité publique, les propriétaires, qu'ils soient bailleurs ou eux-mêmes exploitants, devant tous être traités de la même façon. Or, dans la mesure où l'arrêt attaqué se fonde sur la primauté du principe de regroupement des terres, destiné à améliorer les conditions d'exploitation agricole, il est inévitable de tenir compte de la différence de qualité des parties - à savoir agricultrice pour l'une, et propriétaire foncière sans vocation d'exploitante pour l'autre. A cet égard, il est paradoxal de la part de la recourante de se prévaloir d'une égalité de traitement en tant que bailleresse, alors même qu'elle ne dispose d'aucun terrain à proximité de la parcelle n° 1080 qui justifierait que celle-ci lui soit attribuée à titre de regroupement. Dans de telles circonstances, sa qualité de bailleresse de terres affermées est sans pertinence pour l'attribution de cette parcelle. Elle est en revanche propriétaire d'un terrain voisin de la parcelle n° 1104 que lui a accordé, en échange, la cour cantonale.</w:t>
      </w:r>
    </w:p>
    <w:p>
      <w:r>
        <w:t>Quant aux allégations selon lesquelles l'intimée serait injustement favorisée dans une opération de spéculation en vue d'un éventuel classement de la parcelle n° 1080 en zone constructible, elles sont purement appellatoires. D'une part, la recourante fait elle-même valoir pour seul argument justifiant de lui attribuer la parcelle n° 1080 sa proximité avec le centre villageois en vue d'une éventuelle extension de la zone à bâtir. D'autre part, la recourante ne démontre ni la vraisemblance d'une extension à court, moyen ou même long terme, de la zone à bâtir, ni que cette parcelle présenterait effectivement les caractéristiques requises pour une telle affectation.</w:t>
      </w:r>
    </w:p>
    <w:p>
      <w:r>
        <w:t>Enfin, la recourante n'allègue pas d'inégalité de traitement du point de vue du principe de la compensation réelle. Elle expose les autres objectifs de la procédure d'améliorations foncières litigieuse, à savoir l'amélioration du réseau de desserte, la revalorisation écologique et la gestion des eaux de surface, mais n'en tire aucune conséquence en lien avec sa situation ou celle qu'elle souhaiterait voir adoptée. En définitive, pour peu que les situations des parties puissent être comparables, le résultat de l'attribution des parcelles ne consacre pas d'inégalité de traitement.</w:t>
      </w:r>
    </w:p>
    <w:p>
      <w:r>
        <w:rPr>
          <w:b/>
        </w:rPr>
        <w:t>E. 5</w:t>
      </w:r>
    </w:p>
    <w:p>
      <w:r>
        <w:t>La commune se plaint enfin d'une violation de la garantie de la propriété. Elle se contente à cet égard d'exposer qu'avec la répartition modifiée par la cour cantonale, l'intimée s'enrichit au détriment exclusif de la commune. Elle n'expose pas en quoi consiste la violation de son droit de propriété. Insuffisamment motivé au sens de l' art. 106 al. 2 LTF , le grief est irrecevable.</w:t>
      </w:r>
    </w:p>
    <w:p>
      <w:r>
        <w:rPr>
          <w:b/>
        </w:rPr>
        <w:t>E. 6</w:t>
      </w:r>
    </w:p>
    <w:p>
      <w:r>
        <w:t>Il résulte de ce qui précède que le recours doit être rejeté, dans la mesure de sa recevabilité. La recourante, qui succombe, supportera les frais de justice, dès lors qu'elle a agi pour défendre son intérêt patrimonial ( art. 68 al. 1 et 4 LTF ). Elle versera par ailleurs des dépens à l'intimée, celle-ci obtenant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