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1C_135/2010 vom 31. März 2010</w:t>
      </w:r>
    </w:p>
    <w:p>
      <w:r>
        <w:t>Bundesgericht, 2010-03-31, DE</w:t>
      </w:r>
    </w:p>
    <w:p>
      <w:r>
        <w:rPr>
          <w:b/>
        </w:rPr>
        <w:t xml:space="preserve">Quelle: </w:t>
      </w:r>
      <w:r>
        <w:t>https://mcp.opencaselaw.ch/entscheid/bger_1C_135_2010</w:t>
      </w:r>
    </w:p>
    <w:p>
      <w:r>
        <w:t>FR: TF 1C_135/2010 du 31 mars 2010</w:t>
      </w:r>
    </w:p>
    <w:p>
      <w:r>
        <w:t>IT: TF 1C_135/2010 del 31 marzo 2010</w:t>
      </w:r>
    </w:p>
    <w:p>
      <w:pPr>
        <w:pStyle w:val="Heading2"/>
      </w:pPr>
      <w:r>
        <w:t>Erwägungen</w:t>
      </w:r>
    </w:p>
    <w:p>
      <w:r>
        <w:rPr>
          <w:b/>
        </w:rPr>
        <w:t>E. 1</w:t>
      </w:r>
    </w:p>
    <w:p>
      <w:r>
        <w:t>Das Bundesamt hat die Frist zur Einreichung einer Vernehmlassung verpasst. Soweit es sich im Schreiben vom 19. März 2010 gleichwohl kurz zur Sache äussert, kann dies nicht berücksichtigt werden.</w:t>
      </w:r>
    </w:p>
    <w:p>
      <w:r>
        <w:rPr>
          <w:b/>
        </w:rPr>
        <w:t>E. 2</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Der Begriff des schweren Mangels des ausländischen Verfahrens ist restriktiv auszulegen ( BGE 133 IV 271 E. 2.2.2 S. 274 mit Hinweis).</w:t>
      </w:r>
    </w:p>
    <w:p>
      <w:r>
        <w:t>Art. 84 BGG bezweckt die wirksame Begrenzung des Zugangs zum Bundesgericht im Bereich der internationalen Rechtshilfe in Strafsachen ( BGE 134 IV 156 E. 1.3.1 S. 160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3</w:t>
      </w:r>
    </w:p>
    <w:p>
      <w:r>
        <w:t>Zwar geht es hier um eine Auslieferung und damit um ein Sachgebiet, bei dem die Beschwerde nach Art. 84 Abs. 1 BGG insoweit möglich ist. Entgegen der Auffassung des Beschwerdeführers handelt es sich jedoch um keinen besonders bedeutenden Fall.</w:t>
      </w:r>
    </w:p>
    <w:p>
      <w:r>
        <w:t>Die Vorinstanz hat zu den wesentlichen Einwänden des Beschwerdeführers Stellung genommen. Ihre Erwägungen lassen keine Bundesrechtsverletzung erkennen. Das gilt insbesondere, soweit sie (angefochtenes Urteil S. 15 E. 4.10) die Einholung einer ausdrücklichen Zusicherung, wonach Deutschland den in Art. 14 des Europäischen Auslieferungsübereinkommens vom 13. Dezember 1957 (EAUe; SR 0.353.1) erwähnten Spezialitätsvorbehalt beachten werde, als nicht notwendig erachtet hat. Bei der Übergabe des Beschwerdeführers wird Deutschland auf die sich aus dem Spezialitätsprinzip ergebende Begrenzung seiner Strafgewalt hingewiesen. Aufgrund der Vermutung der Vertragstreue ist davon auszugehen, dass Deutschland den Spezialitätsvorbehalt nach Art. 14 EAUe beachten und den Beschwerdeführer nur für diejenigen Delikte verfolgen wird, für welche die Auslieferung bewilligt worden ist (vgl. Urteil 1C_205/2007 vom 18. Dezember 2007 E. 8, nicht publ. in: BGE 134 IV 156 ).</w:t>
      </w:r>
    </w:p>
    <w:p>
      <w:r>
        <w:t>Die Frage der Auslieferungshaft ist hier nicht Gegenstand des Verfahrens. Der Beschwerdeführer hat am 11. Februar 2010 um Haftentlassung ersucht. Mit Entscheid vom 15. Februar 2010 hat das Bundesamt für Justiz das Gesuch abgewiesen (Beschwerdebeilage 7). Dagegen stand dem Beschwerdeführer die Beschwerde an das Bundesstrafgericht offen.</w:t>
      </w:r>
    </w:p>
    <w:p>
      <w:r>
        <w:t>Hinreichende Anhaltspunkte dafür, dass elementare Verfahrensgrundsätze verletzt worden sind oder das Verfahren im Ausland schwere Mängel aufweist, sind nicht gegeben; dies umso weniger, als nach der dargelegten Rechtsprechung der Begriff des schweren Mangels des ausländischen Verfahrens restriktiv auszulegen ist.</w:t>
      </w:r>
    </w:p>
    <w:p>
      <w:r>
        <w:t>Der vorliegende Fall ist nicht von aussergewöhnlicher Tragweite. Für das Bundesgericht besteht daher kein Anlass, die Sache an die Hand zu nehmen.</w:t>
      </w:r>
    </w:p>
    <w:p>
      <w:r>
        <w:t>Nach dem Gesagten ist die Beschwerde unzulässig.</w:t>
      </w:r>
    </w:p>
    <w:p>
      <w:r>
        <w:rPr>
          <w:b/>
        </w:rPr>
        <w:t>E. 4</w:t>
      </w:r>
    </w:p>
    <w:p>
      <w:r>
        <w:t>Ob die Bedürftigkeit des Beschwerdeführers als hinreichend dargetan hätte beurteilt werden können, kann dahingestellt bleiben. Das Gesuch um unentgeltliche Rechtspflege und Verbeiständung nach Art. 64 BGG kann schon deshalb nicht bewilligt werden, weil die Beschwerde aussichtlos war. Unter den gegebenen Umständen rechtfertigt es sich jedoch, auf die Erhebung von Kosten zu verzichten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