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1C_133/2014 vom 17. Juli 2014</w:t>
      </w:r>
    </w:p>
    <w:p>
      <w:r>
        <w:t>Bundesgericht, 2014-07-17, DE</w:t>
      </w:r>
    </w:p>
    <w:p>
      <w:r>
        <w:rPr>
          <w:b/>
        </w:rPr>
        <w:t xml:space="preserve">Quelle: </w:t>
      </w:r>
      <w:r>
        <w:t>https://mcp.opencaselaw.ch/entscheid/bger_1C_133_2014</w:t>
      </w:r>
    </w:p>
    <w:p>
      <w:r>
        <w:t>FR: TF 1C_133/2014 du 17 juillet 2014</w:t>
      </w:r>
    </w:p>
    <w:p>
      <w:r>
        <w:t>IT: TF 1C_133/2014 del 17 luglio 2014</w:t>
      </w:r>
    </w:p>
    <w:p>
      <w:pPr>
        <w:pStyle w:val="Heading2"/>
      </w:pPr>
      <w:r>
        <w:t>Erwägungen</w:t>
      </w:r>
    </w:p>
    <w:p>
      <w:r>
        <w:rPr>
          <w:b/>
        </w:rPr>
        <w:t>E. 1</w:t>
      </w:r>
    </w:p>
    <w:p>
      <w:r>
        <w:t>Das angefochtene Urteil des Verwaltungsgerichts bestätigt zwar einen Rückweisungsentscheid des Regierungsrats und stellt damit formell einen Zwischenentscheid dar (vgl. dazu und zu den Anfechtungsvoraussetzungen BGE 135 II 30 E. 1.3 S. 33 ff.), doch weist es den Stadtrat an, die nachgesuchte Baubewilligung (unter den "üblichen Auflagen") zu erteilen und belässt diesem somit kaum Entscheidungsspielraum. Es ist deshalb einem Endentscheid einer letzten kantonalen Instanz gleichzusetzen ( Art. 86 Abs. 1 lit. d und Art. 90 BGG ; BGE 134 II 124 E. 1.3 S. 127). Das Urteil ist in einer öffentlich-rechtlichen Angelegenheit ergangen und unterliegt der Beschwerde in öffentlich-rechtlichen Angelegenheiten ( Art. 82 BGG ), zumal kein Ausnahmegrund nach Art. 83 ff. BGG vorliegt ( BGE 133 II 249 E. 1.2 S. 251). Die Beschwerde ist form- und fristgerecht eingereicht worden. Näherer Betrachtung bedarf jedoch die Beschwerdelegitimation der durch ihren Stadtrat handelnden Einwohnergemeinde Brugg.</w:t>
      </w:r>
    </w:p>
    <w:p>
      <w:r>
        <w:rPr>
          <w:b/>
        </w:rPr>
        <w:t>E. 2.1</w:t>
      </w:r>
    </w:p>
    <w:p>
      <w:r>
        <w:t>Die Beschwerdeführerin macht keine Rechtsverletzung in ihrem Autonomiebereich geltend; sie rügt ausschliesslich eine falsche Anwendung der eidgenössischen Lärmschutzvorschriften, also von Bundesrecht. Die spezielle Beschwerdebefugnis der Gemeinde zur Erhebung einer Autonomiebeschwerde ( Art. 89 Abs. 2 lit. c BGG ) scheidet daher aus. Zur Diskussion steht bloss die allgemeine Beschwerdebefugnis gestützt auf Art. 89 Abs. 1 BGG (vgl. Ziff. I./4. der Beschwerde).</w:t>
      </w:r>
    </w:p>
    <w:p>
      <w:r>
        <w:rPr>
          <w:b/>
        </w:rPr>
        <w:t>E. 2.2</w:t>
      </w:r>
    </w:p>
    <w:p>
      <w:r>
        <w:t>Das Beschwerderecht nach Art. 89 Abs. 1 BGG setzt voraus, dass der Beschwerdeführer am vorinstanzlichen Verfahren teilgenommen hat oder keine Möglichkeit zur Teilnahme erhalten hat (lit. a), durch den angefochtenen Entscheid besonders berührt ist (lit. b) und ein schutzwürdiges Interesse an dessen Aufhebung oder Änderung hat (lit. c). Diese Regelung ist in erster Linie auf Privatpersonen zugeschnitten. Indessen kann sich auch das Gemeinwesen darauf stützen, wenn es durch den angefochtenen Entscheid gleich oder ähnlich wie Private betroffen ist ( BGE 133 II 400 E. 2.4.2 S. 406 mit Hinweisen). Zudem kann ein Gemeinwesen aus dem allgemeinen Beschwerderecht praxisgemäss auch dann die Beschwerdelegitimation ableiten, wenn es durch einen Entscheid bei der Wahrung ihm anvertrauter hoheitlicher Aufgaben und Befugnisse in spezifischer, qualifizierter Weise berührt ist ( BGE 138 II 506 E. 2.1.1 S. 508 ; 138 I 143 E. 1.3.1 S. 149, je mit Hinweisen). Die Beschwerdebefugnis zur Durchsetzung hoheitlicher Anliegen setzt aber eine erhebliche Betroffenheit in wichtigen öffentlichen Interessen voraus; dies haben die vereinigten Abteilungen des Bundesgerichts unlängst bekräftigt ( BGE 140 I 90 S. 92 oben und E. 1.2.2 S. 93 mit Hinweisen). Gestützt auf die allgemeine Legitimationsklausel von Art. 89 Abs. 1 BGG dürfen Gemeinwesen nur restriktiv zur Beschwerdeführung zugelassen werden ( BGE 138 II 506 E. 2.1.1 S. 509 mit Hinweisen). Insbesondere verleiht das allgemeine Interesse an der richtigen Rechtsanwendung dem Gemeinwesen noch keine Beschwerdebefugnis ( BGE 140 I 90 E. 1.2.2 mit zahlreichen Verweisungen).</w:t>
      </w:r>
    </w:p>
    <w:p>
      <w:r>
        <w:rPr>
          <w:b/>
        </w:rPr>
        <w:t>E. 2.3</w:t>
      </w:r>
    </w:p>
    <w:p>
      <w:r>
        <w:t>In umweltrechtlichen Angelegenheiten kann eine Gemeinde im erforderlichen Masse betroffen sein, wenn sie als Gebietskorporation wesentliche öffentliche Anliegen wie den Schutz der Einwohner vor schädlichen oder lästigen Immissionen vetritt ( BGE 133 II 400 E. 2.4.2 S. 406). Dabei wird aber vorausgesetzt, dass vom zu beurteilenden Vorhaben bedeutende Immissionen ausgehen, welche die Gesamtheit oder einen Grossteil der Gemeindebewohner betreffen (Urteil 1C_93/ 2014 vom 19. Juni 2014 E. 1.2; 1C_395/2012 vom 23. April 2013 E. 2.3; 1C_523/2009 vom 12. März 2010 E. 2.3.2, in: RDAF 2010 I S. 244; 1C_372/2009 vom 18. August 2010 E. 1.2, in: URP 2010 S. 723; je mit Hinweisen).</w:t>
      </w:r>
    </w:p>
    <w:p>
      <w:r>
        <w:rPr>
          <w:b/>
        </w:rPr>
        <w:t>E. 2.4</w:t>
      </w:r>
    </w:p>
    <w:p>
      <w:r>
        <w:t>Die Beschwerdeführerin bringt nicht vor, sie sei durch das Vorhaben gleich oder ähnlich wie eine Privatperson betroffen. Es geht ihr um die Durchsetzung öffentlicher Anliegen im hoheitlichen Aufgabenbereich. Ihre Beschwerdebefugnis beurteilt sich somit nach den soeben erwähnten Grundsätzen. Die Beschwerdeführerin hat nicht dargelegt, dass vom umstrittenen Vorhaben bedeutende Immissionen ausgehen, die einen grossen Teil der Einwohner betreffen könnten. Solche sind auch nicht ersichtlich, zumal das Umbauvorhaben am nördlichen Siedlungsrand, an peripherer Lage des Gemeinde- und Siedlungsgebiets, verwirklicht werden soll. Die Beschwerdeführerin beruft sich auch ausschliesslich auf Vorschriften, die nicht in erster Linie dem Schutz der Bewohner in der Umgebung, sondern vorab demjenigen der Bewohner des geplanten Gebäudes selber dienen ( Art. 22 USG , Art. 31 LSV ). In der Unterkunft sollen sich bis zu 40 Asylsuchende aufhalten. Bei einer Bevölkerung von über 10'000 Personen entspricht dies nur einem geringen Anteil der Einwohnerschaft. Unter diesen Umständen kann die legitimationsbegründende Schwelle nicht als erreicht gelten. Auf die Beschwerde ist nicht einzutreten.</w:t>
      </w:r>
    </w:p>
    <w:p>
      <w:r>
        <w:rPr>
          <w:b/>
        </w:rPr>
        <w:t>E. 3</w:t>
      </w:r>
    </w:p>
    <w:p>
      <w:r>
        <w:t>Da die Beschwerdeführerin keine Vermögensinteressen vetritt, sind keine Gerichtskosten zu erheben ( Art. 66 Abs. 4 BGG ). Eine Parteientschädigung ist nicht geschuldet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