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1C_133/2010 vom 4. Juni 2010</w:t>
      </w:r>
    </w:p>
    <w:p>
      <w:r>
        <w:t>Bundesgericht, 2010-06-04, FR</w:t>
      </w:r>
    </w:p>
    <w:p>
      <w:r>
        <w:rPr>
          <w:b/>
        </w:rPr>
        <w:t xml:space="preserve">Quelle: </w:t>
      </w:r>
      <w:r>
        <w:t>https://mcp.opencaselaw.ch/entscheid/bger_1C_133_2010</w:t>
      </w:r>
    </w:p>
    <w:p>
      <w:r>
        <w:t>FR: TF 1C_133/2010 du 4 juin 2010</w:t>
      </w:r>
    </w:p>
    <w:p>
      <w:r>
        <w:t>IT: TF 1C_133/2010 del 4 giugno 2010</w:t>
      </w:r>
    </w:p>
    <w:p>
      <w:pPr>
        <w:pStyle w:val="Heading2"/>
      </w:pPr>
      <w:r>
        <w:t>Erwägungen</w:t>
      </w:r>
    </w:p>
    <w:p>
      <w:r>
        <w:rPr>
          <w:b/>
        </w:rPr>
        <w:t>E. 1</w:t>
      </w:r>
    </w:p>
    <w:p>
      <w:r>
        <w:t>Le recours est dirigé contre une décision prise en dernière instance cantonale dans le domaine du droit public des constructions. Il est en soi recevable comme recours en matière de droit public selon les art. 82 ss LTF . Les recourants ont qualité pour recourir ( art. 89 al. 1 LTF ) et ont agi en temps utile ( art. 100 LTF ).</w:t>
      </w:r>
    </w:p>
    <w:p>
      <w:r>
        <w:rPr>
          <w:b/>
        </w:rPr>
        <w:t>E. 2</w:t>
      </w:r>
    </w:p>
    <w:p>
      <w:r>
        <w:t>En ce qui concerne la zone touristique, la construction de chalets selon le type traditionnel est exigée et elle est recommandée dans les autres zones. Les 2/3 de la surface totale des façades seront boisées. Les contrefaçons de formes et de matériaux, de même que toute polychromie des façades, ne sont pas admises.</w:t>
      </w:r>
    </w:p>
    <w:p>
      <w:r>
        <w:rPr>
          <w:b/>
        </w:rPr>
        <w:t>E. 2.1</w:t>
      </w:r>
    </w:p>
    <w:p>
      <w:r>
        <w:t>Appelé à revoir l'application faite d'une norme cantonale ou communale sous l'angle de l'arbitraire, le Tribunal fédéral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135 V 2 consid. 1.3 p. 4; 134 II 124 consid. 4.1 p. 133; 133 II 257 consid. 5.1 p. 260), ce qu'il revient aux recourants de démontrer conformément aux exigences de motivation déduites de l' art. 106 al. 2 LTF ( ATF 133 II 396 consid. 3.2 p. 400). Le Tribunal fédéral fait par ailleurs preuve de retenue dans l'appréciation des circonstances locales, notamment lorsqu'il s'agit d'examiner l'application de clauses d'esthétique. Dans ces domaines, les autorités locales disposent donc d'un large pouvoir d'appréciation (cf. ATF 129 I 337 consid. 4.1 p. 344 et les références).</w:t>
      </w:r>
    </w:p>
    <w:p>
      <w:r>
        <w:rPr>
          <w:b/>
        </w:rPr>
        <w:t>E. 2.2</w:t>
      </w:r>
    </w:p>
    <w:p>
      <w:r>
        <w:t>Dès lors que l' art. 46 let . e ch. 2 RCCZ fait référence aux "chalets selon le type traditionnel", l'on ne saurait reprocher à la cour cantonale d'avoir cherché à en définir la notion. L'application de la clause d'esthétique doit en effet reposer non pas sur une approche subjective, mais sur des critères objectifs et systématiques ( ATF 114 Ia 343 consid. 4b p. 345). La cour cantonale a pour cela recouru à l'interprétation historique, en considérant que la réglementation visait les constructions des stations de montagne du Valais central de la fin des années 90, puisque c'est à cette époque qu'a été adopté le règlement communal. Ces constructions se caractérisent, selon la cour cantonale, par un socle en maçonnerie supportant des façades boisées, des toitures rectilignes, des avants-toits visibles et, fréquemment, des volets et des balcons, à quoi s'ajoutent les divers éléments énumérés par la commune dans sa décision du 23 avril 2008. Cette interprétation est confirmée par la situation sur le terrain, où l'on retrouve, selon les photographies figurant au dossier, des constructions satisfaisant effectivement à la plupart de ces critères. Contrairement à ce que soutiennent les recourants, la disposition réglementaire n'a pas pour objectif unique de définir les matériaux et les couleurs des bâtiments, mais d'assurer leur intégration par rapport à l'environnement bâti tel qu'il existe actuellement. Cela ressort clairement des ch. 1 et 3 de l' art. 46 let . e RCCZ, ainsi que de l'art. 44 let. a RCCZ. Dès lors, quand bien même le projet des recourants serait esthétiquement préférable pris isolément - comme l'a retenu le Conseil d'Etat -, force est d'admettre qu'il s'écarte délibérément du style des chalets environnants, quelle que soit la valeur esthétique de ces derniers. Le refus de l'autorisation de construire, fondé sur des motifs d'intégration à l'environnement bâti, n'a donc rien d'arbitraire.</w:t>
      </w:r>
    </w:p>
    <w:p>
      <w:r>
        <w:rPr>
          <w:b/>
        </w:rPr>
        <w:t>E. 3</w:t>
      </w:r>
    </w:p>
    <w:p>
      <w:r>
        <w:t>Les recourants invoquent ensuite la garantie de la propriété ( art. 26 Cst. ).</w:t>
      </w:r>
    </w:p>
    <w:p>
      <w:r>
        <w:rPr>
          <w:b/>
        </w:rPr>
        <w:t>E. 3.1</w:t>
      </w:r>
    </w:p>
    <w:p>
      <w:r>
        <w:t>Toute restriction de ce droit fondamental doit être fondée sur une base légale, être justifiée par un intérêt public et être proportionnée au but visé (art. 36 al. 1 à 3 Cst.; ATF 130 I 360 consid. 14.2 p. 362; 126 I 219 consid. 2a p. 221, consid. 2c p. 221/222 et les arrêts cités).</w:t>
      </w:r>
    </w:p>
    <w:p>
      <w:r>
        <w:rPr>
          <w:b/>
        </w:rPr>
        <w:t>E. 3.2</w:t>
      </w:r>
    </w:p>
    <w:p>
      <w:r>
        <w:t>Les recourants ne contestent évidemment pas l'existence d'une base légale. Le but de la réglementation étant d'imposer une certaine uniformité de style, on ne saurait non plus nier que cela correspond à un intérêt public suffisant. L'atteinte au droit de propriété n'est d'ailleurs pas disproportionnée, puisque les recourants conservent la faculté de construire, certes dans le style prescrit mais avec de nombreuses variations possibles.</w:t>
      </w:r>
    </w:p>
    <w:p>
      <w:r>
        <w:rPr>
          <w:b/>
        </w:rPr>
        <w:t>E. 4</w:t>
      </w:r>
    </w:p>
    <w:p>
      <w:r>
        <w:t>Les recourants se plaignent enfin d'une inégalité de traitement. Ils relèvent, photographies à l'appui, que les chalets qui ont été autorisés dans la commune sont construits dans un style très varié. La commune ne pourrait prétendre vouloir changer sa pratique en imposant désormais un plus strict respect de la notion de chalet traditionnel, car la pratique précédente n'avait rien d'illégal.</w:t>
      </w:r>
    </w:p>
    <w:p>
      <w:r>
        <w:rPr>
          <w:b/>
        </w:rPr>
        <w:t>E. 4.1</w:t>
      </w:r>
    </w:p>
    <w:p>
      <w:r>
        <w:t>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 ATF 126 V 390 consid. 6a p. 392 et les références citées).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 ATF 127 I 1 consid. 3a p. 2/3 et les arrêts cités).</w:t>
      </w:r>
    </w:p>
    <w:p>
      <w:r>
        <w:rPr>
          <w:b/>
        </w:rPr>
        <w:t>E. 4.2</w:t>
      </w:r>
    </w:p>
    <w:p>
      <w:r>
        <w:t>En l'occurrence, la commune a clairement fait savoir qu'elle s'en tiendrait dorénavant à une application stricte de la réglementation, pratique qui correspond davantage à l'uniformisation voulue aux art. 44 al. 1 et 46 let . e RCCZ.</w:t>
      </w:r>
    </w:p>
    <w:p>
      <w:r>
        <w:t>Au demeurant, l'ensemble des chalets dont la photographie figure au dossier répond, dans les grandes lignes tout au moins, à la définition large posée par la commune, même si certains d'entre eux comportent des éléments supplémentaires tels que des vérandas ou d'importantes surfaces bétonnées. De par sa forme et son aspect général, le projet des recourants s'éloigne encore davantage de la notion de chalet traditionnel, de sorte que le refus de la commune ne constitue pas une inégalité de traitement.</w:t>
      </w:r>
    </w:p>
    <w:p>
      <w:r>
        <w:rPr>
          <w:b/>
        </w:rPr>
        <w:t>E. 5</w:t>
      </w:r>
    </w:p>
    <w:p>
      <w:r>
        <w:t>Sur le vu de ce qui précède, le recours doit être rejeté. Conformément à l' art. 66 al. 1 LTF , les frais judiciaires sont mis à la charge des recourants. La commune d'Arbaz a demandé des dépens en relevant qu'elle compte 1000 habitants. L'allocation de dépens aux collectivités publiques est désormais exclue par l' art. 68 al. 3 LTF , et la pratique actuelle ne fait d'exception à cette règle que dans des circonstances tout-à-fait particulières, qui ne tiennent ni au nombre d'habitants de la commune, ni à l'importance de la cause ( ATF 134 I 117 consid. 7). Il n'y a donc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